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95D" w:rsidRPr="00043C0F" w:rsidRDefault="00EC795D" w:rsidP="007C12D9">
      <w:pPr>
        <w:spacing w:before="40" w:after="40" w:line="252" w:lineRule="auto"/>
        <w:jc w:val="center"/>
        <w:rPr>
          <w:b/>
          <w:sz w:val="27"/>
          <w:szCs w:val="27"/>
        </w:rPr>
      </w:pPr>
      <w:r w:rsidRPr="00043C0F">
        <w:rPr>
          <w:b/>
          <w:sz w:val="27"/>
          <w:szCs w:val="27"/>
        </w:rPr>
        <w:t>D</w:t>
      </w:r>
      <w:r w:rsidRPr="00043C0F">
        <w:rPr>
          <w:b/>
          <w:bCs/>
          <w:sz w:val="27"/>
          <w:szCs w:val="27"/>
        </w:rPr>
        <w:t>ANH MỤC</w:t>
      </w:r>
      <w:r w:rsidRPr="00043C0F">
        <w:rPr>
          <w:b/>
          <w:sz w:val="27"/>
          <w:szCs w:val="27"/>
        </w:rPr>
        <w:t xml:space="preserve"> THỦ TỤC HÀNH CHÍNH ĐƯỢC SỬA ĐỔI, BỔ SUNG</w:t>
      </w:r>
      <w:r w:rsidR="0087369C" w:rsidRPr="00043C0F">
        <w:rPr>
          <w:b/>
          <w:sz w:val="27"/>
          <w:szCs w:val="27"/>
        </w:rPr>
        <w:t>,</w:t>
      </w:r>
      <w:r w:rsidR="00D95A10">
        <w:rPr>
          <w:b/>
          <w:sz w:val="27"/>
          <w:szCs w:val="27"/>
        </w:rPr>
        <w:t xml:space="preserve">BỊ </w:t>
      </w:r>
      <w:r w:rsidR="0087369C" w:rsidRPr="00043C0F">
        <w:rPr>
          <w:b/>
          <w:sz w:val="27"/>
          <w:szCs w:val="27"/>
        </w:rPr>
        <w:t>BÃI BỎ</w:t>
      </w:r>
      <w:r w:rsidRPr="00043C0F">
        <w:rPr>
          <w:b/>
          <w:sz w:val="27"/>
          <w:szCs w:val="27"/>
        </w:rPr>
        <w:t xml:space="preserve"> LĨNH VỰC THỦY SẢN VÀ KIỂM NGƯ</w:t>
      </w:r>
      <w:r w:rsidR="00514EC3" w:rsidRPr="00043C0F">
        <w:rPr>
          <w:b/>
          <w:sz w:val="27"/>
          <w:szCs w:val="27"/>
        </w:rPr>
        <w:t>, BIỂN VÀ HẢI ĐẢO</w:t>
      </w:r>
      <w:r w:rsidRPr="00043C0F">
        <w:rPr>
          <w:b/>
          <w:sz w:val="27"/>
          <w:szCs w:val="27"/>
        </w:rPr>
        <w:t xml:space="preserve"> THUỘC THẨM QUYỀN G</w:t>
      </w:r>
      <w:r w:rsidR="008D65D7" w:rsidRPr="00043C0F">
        <w:rPr>
          <w:b/>
          <w:sz w:val="27"/>
          <w:szCs w:val="27"/>
        </w:rPr>
        <w:t>IẢI QUYẾT CỦA CẤP TỈNH</w:t>
      </w:r>
      <w:r w:rsidR="002D7330" w:rsidRPr="00043C0F">
        <w:rPr>
          <w:b/>
          <w:sz w:val="27"/>
          <w:szCs w:val="27"/>
        </w:rPr>
        <w:t>, CẤP XÃ</w:t>
      </w:r>
      <w:r w:rsidRPr="00043C0F">
        <w:rPr>
          <w:b/>
          <w:sz w:val="27"/>
          <w:szCs w:val="27"/>
        </w:rPr>
        <w:t>TRÊN ĐỊA BÀN TỈNH LÂM ĐỒNG</w:t>
      </w:r>
    </w:p>
    <w:p w:rsidR="00C07ECB" w:rsidRPr="00C26078" w:rsidRDefault="00145EBE" w:rsidP="007C12D9">
      <w:pPr>
        <w:spacing w:before="120" w:after="40" w:line="252" w:lineRule="auto"/>
        <w:jc w:val="center"/>
        <w:rPr>
          <w:color w:val="000000" w:themeColor="text1"/>
          <w:sz w:val="26"/>
          <w:szCs w:val="26"/>
        </w:rPr>
      </w:pPr>
      <w:r>
        <w:rPr>
          <w:noProof/>
          <w:color w:val="000000" w:themeColor="text1"/>
          <w:sz w:val="26"/>
          <w:szCs w:val="26"/>
        </w:rPr>
        <w:pict>
          <v:line id="Straight Connector 1" o:spid="_x0000_s1026" style="position:absolute;left:0;text-align:left;z-index:251660288;visibility:visible;mso-position-horizontal-relative:margin" from="282.75pt,21.6pt" to="451.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" strokecolor="#4472c4 [3204]" strokeweight=".5pt">
            <v:stroke joinstyle="miter"/>
            <w10:wrap anchorx="margin"/>
          </v:line>
        </w:pict>
      </w:r>
      <w:r w:rsidR="00C61378">
        <w:rPr>
          <w:i/>
          <w:color w:val="000000" w:themeColor="text1"/>
          <w:sz w:val="26"/>
          <w:szCs w:val="26"/>
        </w:rPr>
        <w:t>(Kèm theo Quyết định số     2867</w:t>
      </w:r>
      <w:r w:rsidR="00C07ECB" w:rsidRPr="00C26078">
        <w:rPr>
          <w:i/>
          <w:color w:val="000000" w:themeColor="text1"/>
          <w:sz w:val="26"/>
          <w:szCs w:val="26"/>
        </w:rPr>
        <w:t xml:space="preserve">  /QĐ-UBND ngày   </w:t>
      </w:r>
      <w:r w:rsidR="00C61378">
        <w:rPr>
          <w:i/>
          <w:color w:val="000000" w:themeColor="text1"/>
          <w:sz w:val="26"/>
          <w:szCs w:val="26"/>
        </w:rPr>
        <w:t>11</w:t>
      </w:r>
      <w:r w:rsidR="00C07ECB" w:rsidRPr="00C26078">
        <w:rPr>
          <w:i/>
          <w:color w:val="000000" w:themeColor="text1"/>
          <w:sz w:val="26"/>
          <w:szCs w:val="26"/>
        </w:rPr>
        <w:t xml:space="preserve">    tháng   </w:t>
      </w:r>
      <w:r w:rsidR="00C61378">
        <w:rPr>
          <w:i/>
          <w:color w:val="000000" w:themeColor="text1"/>
          <w:sz w:val="26"/>
          <w:szCs w:val="26"/>
        </w:rPr>
        <w:t>6</w:t>
      </w:r>
      <w:r w:rsidR="00C07ECB" w:rsidRPr="00C26078">
        <w:rPr>
          <w:i/>
          <w:color w:val="000000" w:themeColor="text1"/>
          <w:sz w:val="26"/>
          <w:szCs w:val="26"/>
        </w:rPr>
        <w:t xml:space="preserve">    năm 2026 của Chủ tịch Ủy ban nhân dân tỉnh Lâm Đồng)</w:t>
      </w:r>
    </w:p>
    <w:p w:rsidR="007C12D9" w:rsidRDefault="007C12D9" w:rsidP="007C12D9">
      <w:pPr>
        <w:pStyle w:val="Cap2"/>
        <w:spacing w:before="0" w:after="0" w:line="240" w:lineRule="auto"/>
        <w:rPr>
          <w:rFonts w:eastAsia="Calibri"/>
          <w:lang w:val="de-DE"/>
        </w:rPr>
      </w:pPr>
    </w:p>
    <w:p w:rsidR="00650E3E" w:rsidRDefault="002862F7" w:rsidP="007C12D9">
      <w:pPr>
        <w:pStyle w:val="Cap2"/>
        <w:spacing w:before="0" w:after="0" w:line="240" w:lineRule="auto"/>
        <w:rPr>
          <w:rFonts w:eastAsia="Calibri"/>
          <w:lang w:val="de-DE"/>
        </w:rPr>
      </w:pPr>
      <w:r>
        <w:rPr>
          <w:rFonts w:eastAsia="Calibri"/>
          <w:lang w:val="de-DE"/>
        </w:rPr>
        <w:t>A</w:t>
      </w:r>
      <w:r w:rsidR="002D7330" w:rsidRPr="00043C0F">
        <w:rPr>
          <w:rFonts w:eastAsia="Calibri"/>
          <w:lang w:val="de-DE"/>
        </w:rPr>
        <w:t xml:space="preserve">. DANH MỤC THỦ TỤC HÀNH CHÍNH ĐƯỢC SỬA ĐỔI, BỔ SUNG </w:t>
      </w:r>
      <w:r w:rsidR="00864964" w:rsidRPr="00043C0F">
        <w:rPr>
          <w:rFonts w:eastAsia="Calibri"/>
          <w:lang w:val="de-DE"/>
        </w:rPr>
        <w:t>(0</w:t>
      </w:r>
      <w:r>
        <w:rPr>
          <w:rFonts w:eastAsia="Calibri"/>
          <w:lang w:val="de-DE"/>
        </w:rPr>
        <w:t>6</w:t>
      </w:r>
      <w:r w:rsidR="002D7330" w:rsidRPr="00043C0F">
        <w:rPr>
          <w:rFonts w:eastAsia="Calibri"/>
          <w:lang w:val="de-DE"/>
        </w:rPr>
        <w:t xml:space="preserve"> TTHC)</w:t>
      </w:r>
    </w:p>
    <w:p w:rsidR="002862F7" w:rsidRDefault="002862F7" w:rsidP="007C12D9">
      <w:pPr>
        <w:pStyle w:val="Cap2"/>
        <w:spacing w:before="0" w:after="0" w:line="240" w:lineRule="auto"/>
        <w:rPr>
          <w:rFonts w:eastAsia="Calibri"/>
          <w:lang w:val="de-DE"/>
        </w:rPr>
      </w:pPr>
    </w:p>
    <w:tbl>
      <w:tblPr>
        <w:tblW w:w="1559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426"/>
        <w:gridCol w:w="2552"/>
        <w:gridCol w:w="4820"/>
        <w:gridCol w:w="1701"/>
        <w:gridCol w:w="1842"/>
        <w:gridCol w:w="3828"/>
      </w:tblGrid>
      <w:tr w:rsidR="00F537F8" w:rsidRPr="00D95A10" w:rsidTr="00D95A10">
        <w:trPr>
          <w:trHeight w:val="20"/>
          <w:tblHeader/>
        </w:trPr>
        <w:tc>
          <w:tcPr>
            <w:tcW w:w="851" w:type="dxa"/>
            <w:gridSpan w:val="2"/>
            <w:tcBorders>
              <w:top w:val="single" w:sz="4" w:space="0" w:color="auto"/>
              <w:left w:val="single" w:sz="4" w:space="0" w:color="auto"/>
              <w:bottom w:val="single" w:sz="4" w:space="0" w:color="auto"/>
            </w:tcBorders>
            <w:vAlign w:val="center"/>
          </w:tcPr>
          <w:p w:rsidR="00F537F8" w:rsidRPr="00D95A10" w:rsidRDefault="00F537F8" w:rsidP="00CF37D3">
            <w:pPr>
              <w:pStyle w:val="NormalWeb"/>
              <w:spacing w:before="0" w:beforeAutospacing="0" w:after="0" w:afterAutospacing="0"/>
              <w:jc w:val="center"/>
              <w:rPr>
                <w:b/>
                <w:sz w:val="25"/>
                <w:szCs w:val="25"/>
              </w:rPr>
            </w:pPr>
            <w:r w:rsidRPr="00D95A10">
              <w:rPr>
                <w:b/>
                <w:noProof/>
                <w:sz w:val="25"/>
                <w:szCs w:val="25"/>
              </w:rPr>
              <w:t>STT</w:t>
            </w:r>
          </w:p>
        </w:tc>
        <w:tc>
          <w:tcPr>
            <w:tcW w:w="2552" w:type="dxa"/>
            <w:vAlign w:val="center"/>
          </w:tcPr>
          <w:p w:rsidR="00F537F8" w:rsidRPr="00D95A10" w:rsidRDefault="00F537F8" w:rsidP="00CF37D3">
            <w:pPr>
              <w:pStyle w:val="NormalWeb"/>
              <w:spacing w:before="0" w:beforeAutospacing="0" w:after="0" w:afterAutospacing="0"/>
              <w:jc w:val="center"/>
              <w:rPr>
                <w:b/>
                <w:sz w:val="25"/>
                <w:szCs w:val="25"/>
              </w:rPr>
            </w:pPr>
            <w:r w:rsidRPr="00D95A10">
              <w:rPr>
                <w:b/>
                <w:sz w:val="25"/>
                <w:szCs w:val="25"/>
              </w:rPr>
              <w:t>Tên thủ tục                      hành chính</w:t>
            </w:r>
          </w:p>
        </w:tc>
        <w:tc>
          <w:tcPr>
            <w:tcW w:w="4820" w:type="dxa"/>
            <w:vAlign w:val="center"/>
          </w:tcPr>
          <w:p w:rsidR="00F537F8" w:rsidRPr="00D95A10" w:rsidRDefault="00F537F8" w:rsidP="00CF37D3">
            <w:pPr>
              <w:jc w:val="center"/>
              <w:rPr>
                <w:b/>
                <w:sz w:val="25"/>
                <w:szCs w:val="25"/>
              </w:rPr>
            </w:pPr>
            <w:r w:rsidRPr="00D95A10">
              <w:rPr>
                <w:b/>
                <w:sz w:val="25"/>
                <w:szCs w:val="25"/>
              </w:rPr>
              <w:t>Thời gian giải quyết</w:t>
            </w:r>
          </w:p>
        </w:tc>
        <w:tc>
          <w:tcPr>
            <w:tcW w:w="1701" w:type="dxa"/>
            <w:vAlign w:val="center"/>
          </w:tcPr>
          <w:p w:rsidR="00F537F8" w:rsidRPr="00D95A10" w:rsidRDefault="00F537F8" w:rsidP="00CF37D3">
            <w:pPr>
              <w:pStyle w:val="NormalWeb"/>
              <w:spacing w:before="0" w:beforeAutospacing="0" w:after="0" w:afterAutospacing="0"/>
              <w:jc w:val="center"/>
              <w:rPr>
                <w:b/>
                <w:sz w:val="25"/>
                <w:szCs w:val="25"/>
              </w:rPr>
            </w:pPr>
            <w:r w:rsidRPr="00D95A10">
              <w:rPr>
                <w:b/>
                <w:sz w:val="25"/>
                <w:szCs w:val="25"/>
              </w:rPr>
              <w:t>Địa điểm</w:t>
            </w:r>
          </w:p>
          <w:p w:rsidR="00F537F8" w:rsidRPr="00D95A10" w:rsidRDefault="00F537F8" w:rsidP="00CF37D3">
            <w:pPr>
              <w:pStyle w:val="NormalWeb"/>
              <w:spacing w:before="0" w:beforeAutospacing="0" w:after="0" w:afterAutospacing="0"/>
              <w:jc w:val="center"/>
              <w:rPr>
                <w:b/>
                <w:sz w:val="25"/>
                <w:szCs w:val="25"/>
              </w:rPr>
            </w:pPr>
            <w:r w:rsidRPr="00D95A10">
              <w:rPr>
                <w:b/>
                <w:sz w:val="25"/>
                <w:szCs w:val="25"/>
              </w:rPr>
              <w:t>thực hiện</w:t>
            </w:r>
          </w:p>
        </w:tc>
        <w:tc>
          <w:tcPr>
            <w:tcW w:w="1842" w:type="dxa"/>
            <w:vAlign w:val="center"/>
          </w:tcPr>
          <w:p w:rsidR="00F537F8" w:rsidRPr="00D95A10" w:rsidRDefault="00F537F8" w:rsidP="00CF37D3">
            <w:pPr>
              <w:jc w:val="center"/>
              <w:rPr>
                <w:b/>
                <w:sz w:val="25"/>
                <w:szCs w:val="25"/>
              </w:rPr>
            </w:pPr>
            <w:r w:rsidRPr="00D95A10">
              <w:rPr>
                <w:b/>
                <w:sz w:val="25"/>
                <w:szCs w:val="25"/>
              </w:rPr>
              <w:t>Phí/ Lê phí</w:t>
            </w:r>
          </w:p>
        </w:tc>
        <w:tc>
          <w:tcPr>
            <w:tcW w:w="3828" w:type="dxa"/>
            <w:vAlign w:val="center"/>
          </w:tcPr>
          <w:p w:rsidR="00F537F8" w:rsidRPr="00D95A10" w:rsidRDefault="00F537F8" w:rsidP="009F3DEA">
            <w:pPr>
              <w:autoSpaceDE w:val="0"/>
              <w:autoSpaceDN w:val="0"/>
              <w:adjustRightInd w:val="0"/>
              <w:spacing w:line="254" w:lineRule="auto"/>
              <w:jc w:val="center"/>
              <w:rPr>
                <w:rStyle w:val="fontstyle01"/>
                <w:color w:val="auto"/>
                <w:sz w:val="25"/>
                <w:szCs w:val="25"/>
              </w:rPr>
            </w:pPr>
            <w:r w:rsidRPr="00D95A10">
              <w:rPr>
                <w:rStyle w:val="fontstyle01"/>
                <w:color w:val="auto"/>
                <w:sz w:val="25"/>
                <w:szCs w:val="25"/>
              </w:rPr>
              <w:t>Căn cứ pháp lý</w:t>
            </w:r>
          </w:p>
        </w:tc>
      </w:tr>
      <w:tr w:rsidR="00F537F8" w:rsidRPr="00D95A10" w:rsidTr="002703C4">
        <w:trPr>
          <w:trHeight w:val="20"/>
        </w:trPr>
        <w:tc>
          <w:tcPr>
            <w:tcW w:w="425" w:type="dxa"/>
            <w:tcBorders>
              <w:top w:val="single" w:sz="4" w:space="0" w:color="auto"/>
              <w:left w:val="single" w:sz="4" w:space="0" w:color="auto"/>
              <w:bottom w:val="single" w:sz="4" w:space="0" w:color="auto"/>
            </w:tcBorders>
            <w:vAlign w:val="center"/>
          </w:tcPr>
          <w:p w:rsidR="00F537F8" w:rsidRPr="00D95A10" w:rsidRDefault="00F537F8" w:rsidP="002862F7">
            <w:pPr>
              <w:spacing w:before="120" w:after="120"/>
              <w:jc w:val="center"/>
              <w:rPr>
                <w:b/>
                <w:bCs/>
                <w:iCs/>
                <w:sz w:val="25"/>
                <w:szCs w:val="25"/>
              </w:rPr>
            </w:pPr>
            <w:r w:rsidRPr="00D95A10">
              <w:rPr>
                <w:b/>
                <w:bCs/>
                <w:iCs/>
                <w:sz w:val="25"/>
                <w:szCs w:val="25"/>
              </w:rPr>
              <w:t>I</w:t>
            </w:r>
          </w:p>
        </w:tc>
        <w:tc>
          <w:tcPr>
            <w:tcW w:w="15169" w:type="dxa"/>
            <w:gridSpan w:val="6"/>
            <w:tcBorders>
              <w:top w:val="single" w:sz="4" w:space="0" w:color="auto"/>
              <w:left w:val="single" w:sz="4" w:space="0" w:color="auto"/>
              <w:bottom w:val="single" w:sz="4" w:space="0" w:color="auto"/>
            </w:tcBorders>
          </w:tcPr>
          <w:p w:rsidR="00F537F8" w:rsidRPr="00D95A10" w:rsidRDefault="00F537F8" w:rsidP="007C12D9">
            <w:pPr>
              <w:spacing w:before="120" w:after="120"/>
              <w:jc w:val="both"/>
              <w:rPr>
                <w:b/>
                <w:bCs/>
                <w:iCs/>
                <w:sz w:val="25"/>
                <w:szCs w:val="25"/>
              </w:rPr>
            </w:pPr>
            <w:r w:rsidRPr="00D95A10">
              <w:rPr>
                <w:b/>
                <w:bCs/>
                <w:iCs/>
                <w:sz w:val="25"/>
                <w:szCs w:val="25"/>
              </w:rPr>
              <w:t>THỦ TỤC HÀNH CHÍNH CẤP TỈNH (</w:t>
            </w:r>
            <w:bookmarkStart w:id="0" w:name="_GoBack"/>
            <w:bookmarkEnd w:id="0"/>
            <w:r w:rsidRPr="00D95A10">
              <w:rPr>
                <w:b/>
                <w:bCs/>
                <w:iCs/>
                <w:sz w:val="25"/>
                <w:szCs w:val="25"/>
              </w:rPr>
              <w:t>05 TTHC)</w:t>
            </w:r>
          </w:p>
        </w:tc>
      </w:tr>
      <w:tr w:rsidR="00F537F8" w:rsidRPr="00D95A10" w:rsidTr="002703C4">
        <w:trPr>
          <w:trHeight w:val="20"/>
        </w:trPr>
        <w:tc>
          <w:tcPr>
            <w:tcW w:w="15594" w:type="dxa"/>
            <w:gridSpan w:val="7"/>
            <w:tcBorders>
              <w:top w:val="single" w:sz="4" w:space="0" w:color="auto"/>
              <w:left w:val="single" w:sz="4" w:space="0" w:color="auto"/>
              <w:bottom w:val="single" w:sz="4" w:space="0" w:color="auto"/>
            </w:tcBorders>
          </w:tcPr>
          <w:p w:rsidR="00F537F8" w:rsidRPr="00D95A10" w:rsidRDefault="00F537F8" w:rsidP="007C12D9">
            <w:pPr>
              <w:spacing w:before="120" w:after="120"/>
              <w:jc w:val="both"/>
              <w:rPr>
                <w:sz w:val="25"/>
                <w:szCs w:val="25"/>
              </w:rPr>
            </w:pPr>
            <w:r w:rsidRPr="00D95A10">
              <w:rPr>
                <w:b/>
                <w:bCs/>
                <w:iCs/>
                <w:sz w:val="25"/>
                <w:szCs w:val="25"/>
              </w:rPr>
              <w:t>Lĩnh vực biển và hải đảo (03 TTHC)</w:t>
            </w:r>
          </w:p>
        </w:tc>
      </w:tr>
      <w:tr w:rsidR="00F537F8" w:rsidRPr="00D95A10" w:rsidTr="00D95A10">
        <w:trPr>
          <w:trHeight w:val="20"/>
        </w:trPr>
        <w:tc>
          <w:tcPr>
            <w:tcW w:w="425" w:type="dxa"/>
            <w:tcBorders>
              <w:top w:val="single" w:sz="4" w:space="0" w:color="auto"/>
              <w:left w:val="single" w:sz="4" w:space="0" w:color="auto"/>
              <w:bottom w:val="single" w:sz="4" w:space="0" w:color="auto"/>
              <w:right w:val="single" w:sz="4" w:space="0" w:color="auto"/>
            </w:tcBorders>
            <w:vAlign w:val="center"/>
          </w:tcPr>
          <w:p w:rsidR="00F537F8" w:rsidRPr="00D95A10" w:rsidRDefault="00F537F8" w:rsidP="00F537F8">
            <w:pPr>
              <w:spacing w:before="120"/>
              <w:jc w:val="center"/>
              <w:rPr>
                <w:sz w:val="25"/>
                <w:szCs w:val="25"/>
              </w:rPr>
            </w:pPr>
            <w:r w:rsidRPr="00D95A10">
              <w:rPr>
                <w:sz w:val="25"/>
                <w:szCs w:val="25"/>
              </w:rPr>
              <w:t>1</w:t>
            </w:r>
          </w:p>
        </w:tc>
        <w:tc>
          <w:tcPr>
            <w:tcW w:w="426" w:type="dxa"/>
            <w:vAlign w:val="center"/>
          </w:tcPr>
          <w:p w:rsidR="00F537F8" w:rsidRPr="00D95A10" w:rsidRDefault="00F537F8" w:rsidP="00F537F8">
            <w:pPr>
              <w:spacing w:before="120"/>
              <w:jc w:val="both"/>
              <w:rPr>
                <w:sz w:val="25"/>
                <w:szCs w:val="25"/>
              </w:rPr>
            </w:pPr>
            <w:r w:rsidRPr="00D95A10">
              <w:rPr>
                <w:sz w:val="25"/>
                <w:szCs w:val="25"/>
              </w:rPr>
              <w:t>1</w:t>
            </w:r>
          </w:p>
        </w:tc>
        <w:tc>
          <w:tcPr>
            <w:tcW w:w="2552" w:type="dxa"/>
            <w:vAlign w:val="center"/>
          </w:tcPr>
          <w:p w:rsidR="00F537F8" w:rsidRPr="00D95A10" w:rsidRDefault="00F537F8" w:rsidP="00F537F8">
            <w:pPr>
              <w:spacing w:before="120"/>
              <w:jc w:val="both"/>
              <w:rPr>
                <w:sz w:val="25"/>
                <w:szCs w:val="25"/>
              </w:rPr>
            </w:pPr>
            <w:r w:rsidRPr="00D95A10">
              <w:rPr>
                <w:sz w:val="25"/>
                <w:szCs w:val="25"/>
              </w:rPr>
              <w:t>Sửa đổi, bổ sung Quyết định giao khu vực biển</w:t>
            </w:r>
          </w:p>
          <w:p w:rsidR="00F537F8" w:rsidRPr="00D95A10" w:rsidRDefault="00F537F8" w:rsidP="00F537F8">
            <w:pPr>
              <w:spacing w:before="120"/>
              <w:jc w:val="both"/>
              <w:rPr>
                <w:sz w:val="25"/>
                <w:szCs w:val="25"/>
              </w:rPr>
            </w:pPr>
            <w:r w:rsidRPr="00D95A10">
              <w:rPr>
                <w:sz w:val="25"/>
                <w:szCs w:val="25"/>
              </w:rPr>
              <w:t xml:space="preserve">Mã TTHC: </w:t>
            </w:r>
            <w:r w:rsidRPr="00D95A10">
              <w:rPr>
                <w:sz w:val="25"/>
                <w:szCs w:val="25"/>
                <w:lang w:eastAsia="zh-CN"/>
              </w:rPr>
              <w:t>1.005400</w:t>
            </w:r>
          </w:p>
        </w:tc>
        <w:tc>
          <w:tcPr>
            <w:tcW w:w="4820" w:type="dxa"/>
            <w:vAlign w:val="center"/>
          </w:tcPr>
          <w:p w:rsidR="00F537F8" w:rsidRPr="00D95A10" w:rsidRDefault="00F537F8" w:rsidP="00F537F8">
            <w:pPr>
              <w:widowControl w:val="0"/>
              <w:spacing w:before="120"/>
              <w:jc w:val="both"/>
              <w:rPr>
                <w:sz w:val="25"/>
                <w:szCs w:val="25"/>
              </w:rPr>
            </w:pPr>
            <w:r w:rsidRPr="00D95A10">
              <w:rPr>
                <w:sz w:val="25"/>
                <w:szCs w:val="25"/>
              </w:rPr>
              <w:t>1</w:t>
            </w:r>
            <w:r w:rsidRPr="00D95A10">
              <w:rPr>
                <w:sz w:val="25"/>
                <w:szCs w:val="25"/>
                <w:lang w:val="vi-VN"/>
              </w:rPr>
              <w:t>. Thời hạn kiểm tra hồ sơ:</w:t>
            </w:r>
          </w:p>
          <w:p w:rsidR="00F537F8" w:rsidRPr="00D95A10" w:rsidRDefault="00F537F8" w:rsidP="00F537F8">
            <w:pPr>
              <w:widowControl w:val="0"/>
              <w:jc w:val="both"/>
              <w:rPr>
                <w:spacing w:val="-2"/>
                <w:sz w:val="25"/>
                <w:szCs w:val="25"/>
                <w:lang w:val="vi-VN"/>
              </w:rPr>
            </w:pPr>
            <w:r w:rsidRPr="00D95A10">
              <w:rPr>
                <w:spacing w:val="-2"/>
                <w:sz w:val="25"/>
                <w:szCs w:val="25"/>
                <w:lang w:val="vi-VN"/>
              </w:rPr>
              <w:t>a) Trong thời hạn 01 ngày làm việc, Trung tâm Phục vụ hành chính công cấp tỉnh kiểm tra thành phần, nội dung của hồ sơ. Trường hợp hồ sơ theo đúng quy định, trong thời hạn không quá 01 ngày làm việc kể từ ngày nhận được hồ sơ, Trung tâm Phục vụ hành chính công cấp tỉnh ban hành văn bản tiếp nhận và hẹn giải quyết hồ sơ được lập theo Mẫu số 10 của được quy định tại Nghị định số 65/2025/NĐ-CP);</w:t>
            </w:r>
          </w:p>
          <w:p w:rsidR="00F537F8" w:rsidRPr="00D95A10" w:rsidRDefault="00F537F8" w:rsidP="00F537F8">
            <w:pPr>
              <w:widowControl w:val="0"/>
              <w:jc w:val="both"/>
              <w:rPr>
                <w:spacing w:val="-2"/>
                <w:sz w:val="25"/>
                <w:szCs w:val="25"/>
                <w:lang w:val="vi-VN"/>
              </w:rPr>
            </w:pPr>
            <w:r w:rsidRPr="00D95A10">
              <w:rPr>
                <w:spacing w:val="-2"/>
                <w:sz w:val="25"/>
                <w:szCs w:val="25"/>
                <w:lang w:val="vi-VN"/>
              </w:rPr>
              <w:t xml:space="preserve">b) Trường hợp hồ sơ chưa đúng quy định, trong thời hạn không quá 03 ngày làm việc kể từ ngày nhận được hồ sơ, Trung tâm Phục vụ hành chính công cấp tỉnh có trách nhiệm hướng dẫn một lần bằng văn bản cho tổ chức, cá nhân để bổ sung, hoàn thiện hồ sơ. Trong thời hạn 01 ngày làm việc kể từ ngày nhận lại hồ sơ theo đúng quy định, Trung tâm Phục vụ hành chính công cấp tỉnh ban hành văn bản tiếp nhận và hẹn giải quyết hồ sơ theo Mẫu số </w:t>
            </w:r>
            <w:r w:rsidRPr="00D95A10">
              <w:rPr>
                <w:spacing w:val="-2"/>
                <w:sz w:val="25"/>
                <w:szCs w:val="25"/>
                <w:lang w:val="vi-VN"/>
              </w:rPr>
              <w:lastRenderedPageBreak/>
              <w:t>10 Nghị định số 11/2021/NĐ-CP (đã được sửa đổi, bổ sung tại Nghị định số 65/2025/NĐ-CP).</w:t>
            </w:r>
          </w:p>
          <w:p w:rsidR="00F537F8" w:rsidRPr="00D95A10" w:rsidRDefault="00F537F8" w:rsidP="00F537F8">
            <w:pPr>
              <w:widowControl w:val="0"/>
              <w:jc w:val="both"/>
              <w:rPr>
                <w:spacing w:val="-2"/>
                <w:sz w:val="25"/>
                <w:szCs w:val="25"/>
                <w:lang w:val="vi-VN"/>
              </w:rPr>
            </w:pPr>
            <w:r w:rsidRPr="00D95A10">
              <w:rPr>
                <w:spacing w:val="-2"/>
                <w:sz w:val="25"/>
                <w:szCs w:val="25"/>
                <w:lang w:val="vi-VN"/>
              </w:rPr>
              <w:t>2. Thời hạn thẩm định hồ sơ</w:t>
            </w:r>
            <w:r w:rsidRPr="00D95A10">
              <w:rPr>
                <w:i/>
                <w:spacing w:val="-2"/>
                <w:sz w:val="25"/>
                <w:szCs w:val="25"/>
                <w:lang w:val="vi-VN"/>
              </w:rPr>
              <w:t xml:space="preserve">: </w:t>
            </w:r>
            <w:r w:rsidRPr="00D95A10">
              <w:rPr>
                <w:spacing w:val="-2"/>
                <w:sz w:val="25"/>
                <w:szCs w:val="25"/>
                <w:lang w:val="vi-VN"/>
              </w:rPr>
              <w:t>không quá 25 ngày kể từ nhận được đầy đủ hồ sơ theo đúng quy định. Trường hợp cần thiết, Sở Nông nghiệp và Môi trường gửi văn bản lấy ý kiến của các cơ quan có liên quan, tổ chức kiểm tra thực địa. Thời gian kiểm tra thực địa không quá 03 ngày làm việc. Trong thời hạn không quá 12 ngày kể từ ngày nhận được văn bản xin ý kiến. Thời gian lấy ý kiến và tổ chức kiểm tra thực địa không tính vào thời gian thẩm định hồ sơ.</w:t>
            </w:r>
          </w:p>
          <w:p w:rsidR="00F537F8" w:rsidRPr="00D95A10" w:rsidRDefault="00F537F8" w:rsidP="00F537F8">
            <w:pPr>
              <w:widowControl w:val="0"/>
              <w:jc w:val="both"/>
              <w:rPr>
                <w:spacing w:val="-2"/>
                <w:sz w:val="25"/>
                <w:szCs w:val="25"/>
                <w:lang w:val="vi-VN"/>
              </w:rPr>
            </w:pPr>
            <w:r w:rsidRPr="00D95A10">
              <w:rPr>
                <w:spacing w:val="-2"/>
                <w:sz w:val="25"/>
                <w:szCs w:val="25"/>
                <w:lang w:val="vi-VN"/>
              </w:rPr>
              <w:t>Trường hợp hồ sơ còn chưa đủ thông tin để quyết định sửa đổi, bổ sung Quyết định giao khu vực biển, cơ quan thẩm định hồ sơ gửi văn bản nêu rõ lý do, nội dung, thông tin cần bổ sung, giải trình đến tổ chức, cá nhân. Tổ chức, cá nhân gửi văn bản cung cấp bổ sung thông tin, giải trình đến cơ quan thẩm định hồ sơ trong thời hạn không quá 10 ngày kể từ ngày cơ quan thẩm định hồ sơ gửi văn bản (thời gian này không tính vào thời hạn giải quyết hồ sơ); sau 10 ngày, nếu tổ chức, cá nhân không hoàn thành việc hoàn thiện hồ sơ, cán bộ, công chức, viên chức, nhân viên Bộ phận Một cửa thực hiện đóng hồ sơ trên Hệ thống thông tin giải quyết thủ tục hành chính. Thời hạn giải quyết được tính lại từ đầu sau khi nhận đủ hồ sơ.</w:t>
            </w:r>
          </w:p>
          <w:p w:rsidR="00F537F8" w:rsidRPr="00D95A10" w:rsidRDefault="00F537F8" w:rsidP="002703C4">
            <w:pPr>
              <w:widowControl w:val="0"/>
              <w:spacing w:after="120"/>
              <w:jc w:val="both"/>
              <w:rPr>
                <w:bCs/>
                <w:sz w:val="25"/>
                <w:szCs w:val="25"/>
                <w:lang w:val="vi-VN"/>
              </w:rPr>
            </w:pPr>
            <w:r w:rsidRPr="00D95A10">
              <w:rPr>
                <w:sz w:val="25"/>
                <w:szCs w:val="25"/>
                <w:lang w:val="vi-VN"/>
              </w:rPr>
              <w:lastRenderedPageBreak/>
              <w:t>3. Thời hạn</w:t>
            </w:r>
            <w:r w:rsidRPr="00D95A10">
              <w:rPr>
                <w:bCs/>
                <w:sz w:val="25"/>
                <w:szCs w:val="25"/>
                <w:lang w:val="vi-VN"/>
              </w:rPr>
              <w:t xml:space="preserve"> trình, giải quyết hồ sơ</w:t>
            </w:r>
          </w:p>
          <w:p w:rsidR="00F537F8" w:rsidRPr="00D95A10" w:rsidRDefault="00F537F8" w:rsidP="00F537F8">
            <w:pPr>
              <w:widowControl w:val="0"/>
              <w:jc w:val="both"/>
              <w:rPr>
                <w:spacing w:val="-2"/>
                <w:sz w:val="25"/>
                <w:szCs w:val="25"/>
                <w:lang w:val="vi-VN"/>
              </w:rPr>
            </w:pPr>
            <w:r w:rsidRPr="00D95A10">
              <w:rPr>
                <w:spacing w:val="-2"/>
                <w:sz w:val="25"/>
                <w:szCs w:val="25"/>
                <w:lang w:val="vi-VN"/>
              </w:rPr>
              <w:t xml:space="preserve">- Thời hạn trình hồ sơ: không quá một (01) ngày làm việc, kể từ ngày hoàn thành việc thẩm định. </w:t>
            </w:r>
          </w:p>
          <w:p w:rsidR="00F537F8" w:rsidRPr="00D95A10" w:rsidRDefault="00F537F8" w:rsidP="00F537F8">
            <w:pPr>
              <w:widowControl w:val="0"/>
              <w:jc w:val="both"/>
              <w:rPr>
                <w:spacing w:val="-2"/>
                <w:sz w:val="25"/>
                <w:szCs w:val="25"/>
                <w:lang w:val="vi-VN"/>
              </w:rPr>
            </w:pPr>
            <w:r w:rsidRPr="00D95A10">
              <w:rPr>
                <w:spacing w:val="-2"/>
                <w:sz w:val="25"/>
                <w:szCs w:val="25"/>
                <w:lang w:val="vi-VN"/>
              </w:rPr>
              <w:t xml:space="preserve">- Thời hạn xem xét, giải quyết hồ sơ: không quá ba (03) ngày làm việc, kể từ ngày Sở Nông nghiệp và Môi trường trình hồ sơ. </w:t>
            </w:r>
          </w:p>
          <w:p w:rsidR="00F537F8" w:rsidRPr="00D95A10" w:rsidRDefault="00F537F8" w:rsidP="002703C4">
            <w:pPr>
              <w:widowControl w:val="0"/>
              <w:spacing w:after="120"/>
              <w:jc w:val="both"/>
              <w:rPr>
                <w:bCs/>
                <w:spacing w:val="2"/>
                <w:sz w:val="25"/>
                <w:szCs w:val="25"/>
                <w:lang w:val="vi-VN"/>
              </w:rPr>
            </w:pPr>
            <w:r w:rsidRPr="00D95A10">
              <w:rPr>
                <w:spacing w:val="-2"/>
                <w:sz w:val="25"/>
                <w:szCs w:val="25"/>
                <w:lang w:val="vi-VN"/>
              </w:rPr>
              <w:t>- Thời hạn thông báo và trả kết quả hồ sơ: không quá hai (02) ngày làm việc, kể từ ngày nhận được kết quả giải quyết hồ sơ từ cơ quan quản lý nhà nước hoặc cấp có thẩm quyền giao khu vực biển.</w:t>
            </w:r>
          </w:p>
        </w:tc>
        <w:tc>
          <w:tcPr>
            <w:tcW w:w="1701" w:type="dxa"/>
            <w:vAlign w:val="center"/>
          </w:tcPr>
          <w:p w:rsidR="00F537F8" w:rsidRPr="00D95A10" w:rsidRDefault="00F537F8" w:rsidP="00F537F8">
            <w:pPr>
              <w:jc w:val="both"/>
              <w:rPr>
                <w:spacing w:val="-6"/>
                <w:sz w:val="25"/>
                <w:szCs w:val="25"/>
              </w:rPr>
            </w:pPr>
            <w:r w:rsidRPr="00D95A10">
              <w:rPr>
                <w:spacing w:val="-6"/>
                <w:sz w:val="25"/>
                <w:szCs w:val="25"/>
                <w:lang w:val="vi-VN"/>
              </w:rPr>
              <w:lastRenderedPageBreak/>
              <w:t xml:space="preserve">Trung tâm Phục vụ hành chính công </w:t>
            </w:r>
            <w:r w:rsidRPr="00D95A10">
              <w:rPr>
                <w:spacing w:val="-6"/>
                <w:sz w:val="25"/>
                <w:szCs w:val="25"/>
              </w:rPr>
              <w:t>tỉnh</w:t>
            </w:r>
          </w:p>
        </w:tc>
        <w:tc>
          <w:tcPr>
            <w:tcW w:w="1842" w:type="dxa"/>
            <w:vAlign w:val="center"/>
          </w:tcPr>
          <w:p w:rsidR="00F537F8" w:rsidRPr="00D95A10" w:rsidRDefault="00F537F8" w:rsidP="00F537F8">
            <w:pPr>
              <w:jc w:val="center"/>
              <w:rPr>
                <w:sz w:val="25"/>
                <w:szCs w:val="25"/>
              </w:rPr>
            </w:pPr>
            <w:r w:rsidRPr="00D95A10">
              <w:rPr>
                <w:sz w:val="25"/>
                <w:szCs w:val="25"/>
              </w:rPr>
              <w:t>Không</w:t>
            </w:r>
          </w:p>
        </w:tc>
        <w:tc>
          <w:tcPr>
            <w:tcW w:w="3828" w:type="dxa"/>
            <w:vAlign w:val="center"/>
          </w:tcPr>
          <w:p w:rsidR="00F537F8" w:rsidRPr="00D95A10" w:rsidRDefault="00F537F8" w:rsidP="00F537F8">
            <w:pPr>
              <w:widowControl w:val="0"/>
              <w:tabs>
                <w:tab w:val="left" w:pos="851"/>
              </w:tabs>
              <w:spacing w:line="340" w:lineRule="exact"/>
              <w:jc w:val="both"/>
              <w:rPr>
                <w:bCs/>
                <w:sz w:val="25"/>
                <w:szCs w:val="25"/>
              </w:rPr>
            </w:pPr>
            <w:r w:rsidRPr="00D95A10">
              <w:rPr>
                <w:bCs/>
                <w:sz w:val="25"/>
                <w:szCs w:val="25"/>
                <w:lang w:val="vi-VN"/>
              </w:rPr>
              <w:t>- Nghị quyết số 17/2026/NQ-CP ngày 29/4/2026</w:t>
            </w:r>
            <w:r w:rsidRPr="00D95A10">
              <w:rPr>
                <w:bCs/>
                <w:sz w:val="25"/>
                <w:szCs w:val="25"/>
              </w:rPr>
              <w:t xml:space="preserve"> của Chính phủ cắt giảm, phân cấp, đơn giản hoá thủ tục hành chính và cắt giảm, đơn giản hoá điều kiện kinh doanh thuộc phạm vi quản lý của Bộ Nông nghiệp và Môi trường.</w:t>
            </w:r>
          </w:p>
          <w:p w:rsidR="00F537F8" w:rsidRPr="00D95A10" w:rsidRDefault="00F537F8" w:rsidP="00F537F8">
            <w:pPr>
              <w:widowControl w:val="0"/>
              <w:tabs>
                <w:tab w:val="left" w:pos="851"/>
              </w:tabs>
              <w:spacing w:line="340" w:lineRule="exact"/>
              <w:jc w:val="both"/>
              <w:rPr>
                <w:bCs/>
                <w:spacing w:val="2"/>
                <w:sz w:val="25"/>
                <w:szCs w:val="25"/>
                <w:lang w:val="vi-VN"/>
              </w:rPr>
            </w:pPr>
          </w:p>
        </w:tc>
      </w:tr>
      <w:tr w:rsidR="00F537F8" w:rsidRPr="00D95A10" w:rsidTr="00D95A10">
        <w:trPr>
          <w:trHeight w:val="20"/>
        </w:trPr>
        <w:tc>
          <w:tcPr>
            <w:tcW w:w="425" w:type="dxa"/>
            <w:tcBorders>
              <w:top w:val="single" w:sz="4" w:space="0" w:color="auto"/>
              <w:left w:val="single" w:sz="4" w:space="0" w:color="auto"/>
              <w:bottom w:val="single" w:sz="4" w:space="0" w:color="auto"/>
              <w:right w:val="single" w:sz="4" w:space="0" w:color="auto"/>
            </w:tcBorders>
            <w:vAlign w:val="center"/>
          </w:tcPr>
          <w:p w:rsidR="00F537F8" w:rsidRPr="00D95A10" w:rsidRDefault="00F537F8" w:rsidP="00F537F8">
            <w:pPr>
              <w:jc w:val="center"/>
              <w:rPr>
                <w:sz w:val="25"/>
                <w:szCs w:val="25"/>
              </w:rPr>
            </w:pPr>
            <w:r w:rsidRPr="00D95A10">
              <w:rPr>
                <w:sz w:val="25"/>
                <w:szCs w:val="25"/>
              </w:rPr>
              <w:lastRenderedPageBreak/>
              <w:t>2</w:t>
            </w:r>
          </w:p>
        </w:tc>
        <w:tc>
          <w:tcPr>
            <w:tcW w:w="426" w:type="dxa"/>
            <w:vAlign w:val="center"/>
          </w:tcPr>
          <w:p w:rsidR="00F537F8" w:rsidRPr="00D95A10" w:rsidRDefault="00F537F8" w:rsidP="00F537F8">
            <w:pPr>
              <w:jc w:val="both"/>
              <w:rPr>
                <w:sz w:val="25"/>
                <w:szCs w:val="25"/>
              </w:rPr>
            </w:pPr>
            <w:r w:rsidRPr="00D95A10">
              <w:rPr>
                <w:sz w:val="25"/>
                <w:szCs w:val="25"/>
              </w:rPr>
              <w:t>2</w:t>
            </w:r>
          </w:p>
        </w:tc>
        <w:tc>
          <w:tcPr>
            <w:tcW w:w="2552" w:type="dxa"/>
            <w:vAlign w:val="center"/>
          </w:tcPr>
          <w:p w:rsidR="00F537F8" w:rsidRPr="00D95A10" w:rsidRDefault="00F537F8" w:rsidP="00F537F8">
            <w:pPr>
              <w:jc w:val="both"/>
              <w:rPr>
                <w:sz w:val="25"/>
                <w:szCs w:val="25"/>
              </w:rPr>
            </w:pPr>
            <w:r w:rsidRPr="00D95A10">
              <w:rPr>
                <w:sz w:val="25"/>
                <w:szCs w:val="25"/>
              </w:rPr>
              <w:t xml:space="preserve">Sửa đổi, bổ sung Giấy phép nhận chìm ở biển     </w:t>
            </w:r>
          </w:p>
          <w:p w:rsidR="00F537F8" w:rsidRPr="00D95A10" w:rsidRDefault="00F537F8" w:rsidP="00F537F8">
            <w:pPr>
              <w:spacing w:before="120"/>
              <w:jc w:val="both"/>
              <w:rPr>
                <w:sz w:val="25"/>
                <w:szCs w:val="25"/>
              </w:rPr>
            </w:pPr>
            <w:r w:rsidRPr="00D95A10">
              <w:rPr>
                <w:sz w:val="25"/>
                <w:szCs w:val="25"/>
              </w:rPr>
              <w:t xml:space="preserve"> Mã TTHC:</w:t>
            </w:r>
            <w:r w:rsidRPr="00D95A10">
              <w:rPr>
                <w:sz w:val="25"/>
                <w:szCs w:val="25"/>
                <w:lang w:eastAsia="zh-CN"/>
              </w:rPr>
              <w:t>1.000969</w:t>
            </w:r>
          </w:p>
        </w:tc>
        <w:tc>
          <w:tcPr>
            <w:tcW w:w="4820" w:type="dxa"/>
            <w:vAlign w:val="center"/>
          </w:tcPr>
          <w:p w:rsidR="00F537F8" w:rsidRPr="00D95A10" w:rsidRDefault="00F537F8" w:rsidP="002703C4">
            <w:pPr>
              <w:spacing w:before="120"/>
              <w:jc w:val="both"/>
              <w:rPr>
                <w:iCs/>
                <w:sz w:val="25"/>
                <w:szCs w:val="25"/>
                <w:lang w:val="vi-VN"/>
              </w:rPr>
            </w:pPr>
            <w:r w:rsidRPr="00D95A10">
              <w:rPr>
                <w:iCs/>
                <w:sz w:val="25"/>
                <w:szCs w:val="25"/>
                <w:lang w:val="vi-VN"/>
              </w:rPr>
              <w:t>1. Thời hạn kiểm tra hồ sơ</w:t>
            </w:r>
          </w:p>
          <w:p w:rsidR="00F537F8" w:rsidRPr="00D95A10" w:rsidRDefault="00F537F8" w:rsidP="00F537F8">
            <w:pPr>
              <w:widowControl w:val="0"/>
              <w:jc w:val="both"/>
              <w:rPr>
                <w:spacing w:val="-2"/>
                <w:sz w:val="25"/>
                <w:szCs w:val="25"/>
                <w:lang w:val="vi-VN"/>
              </w:rPr>
            </w:pPr>
            <w:r w:rsidRPr="00D95A10">
              <w:rPr>
                <w:spacing w:val="-2"/>
                <w:sz w:val="25"/>
                <w:szCs w:val="25"/>
                <w:lang w:val="vi-VN"/>
              </w:rPr>
              <w:t>a) Trong thời hạn 01 ngày làm việc, Trung tâm Phục vụ hành chính công cấp tỉnh kiểm tra thành phần, nội dung của hồ sơ, trường hợp hồ sơ theo đúng quy định, Trung tâm Phục vụ hành chính công cấp tỉnh ban hành văn bản tiếp nhận và hẹn giải quyết hồ sơ; Trường hợp hồ sơ chưa đúng quy định Trung tâm Phục vụ hành chính công cấp tỉnh có trách nhiệm hướng dẫn một lần bằng văn bản cho tổ chức, cá nhân để bổ sung, hoàn thiện hồ sơ.</w:t>
            </w:r>
          </w:p>
          <w:p w:rsidR="00F537F8" w:rsidRPr="00D95A10" w:rsidRDefault="00F537F8" w:rsidP="00F537F8">
            <w:pPr>
              <w:widowControl w:val="0"/>
              <w:jc w:val="both"/>
              <w:rPr>
                <w:spacing w:val="-2"/>
                <w:sz w:val="25"/>
                <w:szCs w:val="25"/>
                <w:lang w:val="vi-VN"/>
              </w:rPr>
            </w:pPr>
            <w:r w:rsidRPr="00D95A10">
              <w:rPr>
                <w:spacing w:val="-2"/>
                <w:sz w:val="25"/>
                <w:szCs w:val="25"/>
                <w:lang w:val="vi-VN"/>
              </w:rPr>
              <w:t>b) Sau khi tiếp nhận hồ sơ theo quy định, Trung tâm Phục vụ hành chính công cấp tỉnh chuyển ngay cho Sở Nông nghiệp và Môi trường.</w:t>
            </w:r>
          </w:p>
          <w:p w:rsidR="00F537F8" w:rsidRPr="00D95A10" w:rsidRDefault="00F537F8" w:rsidP="00F537F8">
            <w:pPr>
              <w:widowControl w:val="0"/>
              <w:jc w:val="both"/>
              <w:rPr>
                <w:sz w:val="25"/>
                <w:szCs w:val="25"/>
                <w:lang w:val="vi-VN"/>
              </w:rPr>
            </w:pPr>
            <w:r w:rsidRPr="00D95A10">
              <w:rPr>
                <w:sz w:val="25"/>
                <w:szCs w:val="25"/>
                <w:lang w:val="vi-VN"/>
              </w:rPr>
              <w:t>2. Thời hạn thẩm định hồ sơ</w:t>
            </w:r>
          </w:p>
          <w:p w:rsidR="00F537F8" w:rsidRPr="00D95A10" w:rsidRDefault="00F537F8" w:rsidP="00F537F8">
            <w:pPr>
              <w:widowControl w:val="0"/>
              <w:jc w:val="both"/>
              <w:rPr>
                <w:spacing w:val="-2"/>
                <w:sz w:val="25"/>
                <w:szCs w:val="25"/>
                <w:lang w:val="vi-VN"/>
              </w:rPr>
            </w:pPr>
            <w:r w:rsidRPr="00D95A10">
              <w:rPr>
                <w:spacing w:val="-2"/>
                <w:sz w:val="25"/>
                <w:szCs w:val="25"/>
                <w:lang w:val="vi-VN"/>
              </w:rPr>
              <w:t xml:space="preserve">a) Thời gian thẩm định hồ sơ đầy đủ thông tin: không quá 30 ngày kể từ ngày nhận được đầy </w:t>
            </w:r>
            <w:r w:rsidRPr="00D95A10">
              <w:rPr>
                <w:spacing w:val="-2"/>
                <w:sz w:val="25"/>
                <w:szCs w:val="25"/>
                <w:lang w:val="vi-VN"/>
              </w:rPr>
              <w:lastRenderedPageBreak/>
              <w:t>đủ hồ sơ:</w:t>
            </w:r>
          </w:p>
          <w:p w:rsidR="00F537F8" w:rsidRPr="00D95A10" w:rsidRDefault="00F537F8" w:rsidP="00F537F8">
            <w:pPr>
              <w:widowControl w:val="0"/>
              <w:jc w:val="both"/>
              <w:rPr>
                <w:spacing w:val="-2"/>
                <w:sz w:val="25"/>
                <w:szCs w:val="25"/>
                <w:lang w:val="vi-VN"/>
              </w:rPr>
            </w:pPr>
            <w:r w:rsidRPr="00D95A10">
              <w:rPr>
                <w:spacing w:val="-2"/>
                <w:sz w:val="25"/>
                <w:szCs w:val="25"/>
                <w:lang w:val="vi-VN"/>
              </w:rPr>
              <w:t xml:space="preserve">- Thời gian lấy ý kiến các bộ, ngành, Ủy ban nhân dân tỉnh các cơ quan có liên quan: không quá 15 ngày kể từ ngày nhận được văn bản lấy ý kiến kèm theo đầy đủ hồ sơ. </w:t>
            </w:r>
          </w:p>
          <w:p w:rsidR="00F537F8" w:rsidRPr="00D95A10" w:rsidRDefault="00F537F8" w:rsidP="00F537F8">
            <w:pPr>
              <w:widowControl w:val="0"/>
              <w:jc w:val="both"/>
              <w:rPr>
                <w:spacing w:val="-2"/>
                <w:sz w:val="25"/>
                <w:szCs w:val="25"/>
                <w:lang w:val="vi-VN"/>
              </w:rPr>
            </w:pPr>
            <w:r w:rsidRPr="00D95A10">
              <w:rPr>
                <w:spacing w:val="-2"/>
                <w:sz w:val="25"/>
                <w:szCs w:val="25"/>
                <w:lang w:val="vi-VN"/>
              </w:rPr>
              <w:t>- Thời gian kiểm tra thực địa: không quá 03 ngày làm việc.</w:t>
            </w:r>
          </w:p>
          <w:p w:rsidR="00F537F8" w:rsidRPr="00D95A10" w:rsidRDefault="00F537F8" w:rsidP="00F537F8">
            <w:pPr>
              <w:widowControl w:val="0"/>
              <w:jc w:val="both"/>
              <w:rPr>
                <w:spacing w:val="-2"/>
                <w:sz w:val="25"/>
                <w:szCs w:val="25"/>
                <w:lang w:val="vi-VN"/>
              </w:rPr>
            </w:pPr>
            <w:r w:rsidRPr="00D95A10">
              <w:rPr>
                <w:spacing w:val="-2"/>
                <w:sz w:val="25"/>
                <w:szCs w:val="25"/>
                <w:lang w:val="vi-VN"/>
              </w:rPr>
              <w:t>b) Trường hợp hồ sơ chưa đầy đủ thông tin: tổ chức, cá nhân cung cấp bổ sung thông tin, giải trình những nội dung cần làm rõ, thời hạn không quá 15 ngày.</w:t>
            </w:r>
          </w:p>
          <w:p w:rsidR="00F537F8" w:rsidRPr="00D95A10" w:rsidRDefault="00F537F8" w:rsidP="00F537F8">
            <w:pPr>
              <w:widowControl w:val="0"/>
              <w:jc w:val="both"/>
              <w:rPr>
                <w:spacing w:val="-2"/>
                <w:sz w:val="25"/>
                <w:szCs w:val="25"/>
                <w:lang w:val="vi-VN"/>
              </w:rPr>
            </w:pPr>
            <w:r w:rsidRPr="00D95A10">
              <w:rPr>
                <w:spacing w:val="-2"/>
                <w:sz w:val="25"/>
                <w:szCs w:val="25"/>
                <w:lang w:val="vi-VN"/>
              </w:rPr>
              <w:t>c) Thời gian lấy ý kiến; tổ chức kiểm tra thực địa; tổ chức, cá nhân cung cấp bổ sung thông tin, giải trình những nội dung cần làm rõ không tính vào thời gian thẩm định hồ sơ.</w:t>
            </w:r>
          </w:p>
          <w:p w:rsidR="00F537F8" w:rsidRPr="00D95A10" w:rsidRDefault="00F537F8" w:rsidP="00F537F8">
            <w:pPr>
              <w:widowControl w:val="0"/>
              <w:jc w:val="both"/>
              <w:rPr>
                <w:bCs/>
                <w:sz w:val="25"/>
                <w:szCs w:val="25"/>
                <w:lang w:val="vi-VN"/>
              </w:rPr>
            </w:pPr>
            <w:r w:rsidRPr="00D95A10">
              <w:rPr>
                <w:sz w:val="25"/>
                <w:szCs w:val="25"/>
                <w:lang w:val="vi-VN"/>
              </w:rPr>
              <w:t>3. Thời hạn</w:t>
            </w:r>
            <w:r w:rsidRPr="00D95A10">
              <w:rPr>
                <w:bCs/>
                <w:sz w:val="25"/>
                <w:szCs w:val="25"/>
                <w:lang w:val="vi-VN"/>
              </w:rPr>
              <w:t xml:space="preserve"> trình, phê duyệt hồ sơ</w:t>
            </w:r>
          </w:p>
          <w:p w:rsidR="00F537F8" w:rsidRPr="00D95A10" w:rsidRDefault="00F537F8" w:rsidP="00F537F8">
            <w:pPr>
              <w:widowControl w:val="0"/>
              <w:jc w:val="both"/>
              <w:rPr>
                <w:spacing w:val="-2"/>
                <w:sz w:val="25"/>
                <w:szCs w:val="25"/>
                <w:lang w:val="vi-VN"/>
              </w:rPr>
            </w:pPr>
            <w:r w:rsidRPr="00D95A10">
              <w:rPr>
                <w:spacing w:val="-2"/>
                <w:sz w:val="25"/>
                <w:szCs w:val="25"/>
                <w:lang w:val="vi-VN"/>
              </w:rPr>
              <w:t xml:space="preserve">a) Thời hạn trình hồ sơ: không quá 01 ngày làm việc, kể từ ngày hoàn thành việc thẩm định hồ sơ. </w:t>
            </w:r>
          </w:p>
          <w:p w:rsidR="00F537F8" w:rsidRPr="00D95A10" w:rsidRDefault="00F537F8" w:rsidP="002703C4">
            <w:pPr>
              <w:widowControl w:val="0"/>
              <w:spacing w:after="120"/>
              <w:jc w:val="both"/>
              <w:rPr>
                <w:sz w:val="25"/>
                <w:szCs w:val="25"/>
                <w:lang w:val="vi-VN"/>
              </w:rPr>
            </w:pPr>
            <w:r w:rsidRPr="00D95A10">
              <w:rPr>
                <w:spacing w:val="-2"/>
                <w:sz w:val="25"/>
                <w:szCs w:val="25"/>
                <w:lang w:val="vi-VN"/>
              </w:rPr>
              <w:t>b) Thời hạn xem xét, ra quyết định: không quá 03 ngày làm việc, kể từ ngày Sở NNMT trình UBND tỉnh.</w:t>
            </w:r>
          </w:p>
        </w:tc>
        <w:tc>
          <w:tcPr>
            <w:tcW w:w="1701" w:type="dxa"/>
            <w:vAlign w:val="center"/>
          </w:tcPr>
          <w:p w:rsidR="00F537F8" w:rsidRPr="00D95A10" w:rsidRDefault="00F537F8" w:rsidP="00F537F8">
            <w:pPr>
              <w:jc w:val="both"/>
              <w:rPr>
                <w:spacing w:val="-6"/>
                <w:sz w:val="25"/>
                <w:szCs w:val="25"/>
              </w:rPr>
            </w:pPr>
            <w:r w:rsidRPr="00D95A10">
              <w:rPr>
                <w:spacing w:val="-6"/>
                <w:sz w:val="25"/>
                <w:szCs w:val="25"/>
                <w:lang w:val="vi-VN"/>
              </w:rPr>
              <w:lastRenderedPageBreak/>
              <w:t>Trung tâm Phục vụ hành chính công</w:t>
            </w:r>
            <w:r w:rsidRPr="00D95A10">
              <w:rPr>
                <w:spacing w:val="-6"/>
                <w:sz w:val="25"/>
                <w:szCs w:val="25"/>
              </w:rPr>
              <w:t xml:space="preserve"> tỉnh</w:t>
            </w:r>
          </w:p>
        </w:tc>
        <w:tc>
          <w:tcPr>
            <w:tcW w:w="1842" w:type="dxa"/>
            <w:vAlign w:val="center"/>
          </w:tcPr>
          <w:p w:rsidR="00F537F8" w:rsidRPr="00D95A10" w:rsidRDefault="00F537F8" w:rsidP="00F537F8">
            <w:pPr>
              <w:jc w:val="both"/>
              <w:rPr>
                <w:iCs/>
                <w:sz w:val="25"/>
                <w:szCs w:val="25"/>
                <w:lang w:val="vi-VN"/>
              </w:rPr>
            </w:pPr>
            <w:r w:rsidRPr="00D95A10">
              <w:rPr>
                <w:iCs/>
                <w:sz w:val="25"/>
                <w:szCs w:val="25"/>
                <w:lang w:val="vi-VN"/>
              </w:rPr>
              <w:t>Theo Thông tư số 08/2024/TT-BTC ngày 05/02/2024 của Bộ Tài chính quy định mức thu, chế độ thu, nộp lệ phí cấp giấy phép nhận chìm ở biển.</w:t>
            </w:r>
          </w:p>
          <w:p w:rsidR="00F537F8" w:rsidRPr="00D95A10" w:rsidRDefault="00F537F8" w:rsidP="00F537F8">
            <w:pPr>
              <w:jc w:val="center"/>
              <w:rPr>
                <w:sz w:val="25"/>
                <w:szCs w:val="25"/>
                <w:lang w:val="vi-VN"/>
              </w:rPr>
            </w:pPr>
          </w:p>
        </w:tc>
        <w:tc>
          <w:tcPr>
            <w:tcW w:w="3828" w:type="dxa"/>
            <w:vAlign w:val="center"/>
          </w:tcPr>
          <w:p w:rsidR="00F537F8" w:rsidRPr="00D95A10" w:rsidRDefault="00F537F8" w:rsidP="00F537F8">
            <w:pPr>
              <w:jc w:val="both"/>
              <w:rPr>
                <w:sz w:val="25"/>
                <w:szCs w:val="25"/>
              </w:rPr>
            </w:pPr>
            <w:r w:rsidRPr="00D95A10">
              <w:rPr>
                <w:sz w:val="25"/>
                <w:szCs w:val="25"/>
                <w:lang w:val="vi-VN"/>
              </w:rPr>
              <w:t>- Nghị quyết số 66.19/2026/NQ-CP ngày 18/5/2026</w:t>
            </w:r>
            <w:r w:rsidRPr="00D95A10">
              <w:rPr>
                <w:sz w:val="25"/>
                <w:szCs w:val="25"/>
              </w:rPr>
              <w:t xml:space="preserve"> của Chính phủ về cắt giảm, phân quyền, đơn giản hoá điều kiện kinh doanh thuộc phạm vi quản lý Bộ Nông nghiệp và Môi trường.</w:t>
            </w:r>
          </w:p>
          <w:p w:rsidR="00F537F8" w:rsidRPr="00D95A10" w:rsidRDefault="00F537F8" w:rsidP="00F537F8">
            <w:pPr>
              <w:jc w:val="both"/>
              <w:rPr>
                <w:iCs/>
                <w:sz w:val="25"/>
                <w:szCs w:val="25"/>
              </w:rPr>
            </w:pPr>
          </w:p>
          <w:p w:rsidR="00F537F8" w:rsidRPr="00D95A10" w:rsidRDefault="00F537F8" w:rsidP="00F537F8">
            <w:pPr>
              <w:jc w:val="both"/>
              <w:rPr>
                <w:iCs/>
                <w:sz w:val="25"/>
                <w:szCs w:val="25"/>
                <w:lang w:val="vi-VN"/>
              </w:rPr>
            </w:pPr>
          </w:p>
        </w:tc>
      </w:tr>
      <w:tr w:rsidR="00F537F8" w:rsidRPr="00D95A10" w:rsidTr="00D95A10">
        <w:trPr>
          <w:trHeight w:val="20"/>
        </w:trPr>
        <w:tc>
          <w:tcPr>
            <w:tcW w:w="425" w:type="dxa"/>
            <w:tcBorders>
              <w:top w:val="single" w:sz="4" w:space="0" w:color="auto"/>
              <w:left w:val="single" w:sz="4" w:space="0" w:color="auto"/>
              <w:bottom w:val="single" w:sz="4" w:space="0" w:color="auto"/>
              <w:right w:val="single" w:sz="4" w:space="0" w:color="auto"/>
            </w:tcBorders>
            <w:vAlign w:val="center"/>
          </w:tcPr>
          <w:p w:rsidR="00F537F8" w:rsidRPr="00D95A10" w:rsidRDefault="00F537F8" w:rsidP="00F537F8">
            <w:pPr>
              <w:jc w:val="center"/>
              <w:rPr>
                <w:sz w:val="25"/>
                <w:szCs w:val="25"/>
              </w:rPr>
            </w:pPr>
            <w:r w:rsidRPr="00D95A10">
              <w:rPr>
                <w:sz w:val="25"/>
                <w:szCs w:val="25"/>
              </w:rPr>
              <w:lastRenderedPageBreak/>
              <w:t>3</w:t>
            </w:r>
          </w:p>
        </w:tc>
        <w:tc>
          <w:tcPr>
            <w:tcW w:w="426" w:type="dxa"/>
            <w:vAlign w:val="center"/>
          </w:tcPr>
          <w:p w:rsidR="00F537F8" w:rsidRPr="00D95A10" w:rsidRDefault="00F537F8" w:rsidP="00F537F8">
            <w:pPr>
              <w:jc w:val="center"/>
              <w:rPr>
                <w:sz w:val="25"/>
                <w:szCs w:val="25"/>
                <w:lang w:eastAsia="zh-CN"/>
              </w:rPr>
            </w:pPr>
            <w:r w:rsidRPr="00D95A10">
              <w:rPr>
                <w:sz w:val="25"/>
                <w:szCs w:val="25"/>
              </w:rPr>
              <w:t>3</w:t>
            </w:r>
          </w:p>
        </w:tc>
        <w:tc>
          <w:tcPr>
            <w:tcW w:w="2552" w:type="dxa"/>
            <w:vAlign w:val="center"/>
          </w:tcPr>
          <w:p w:rsidR="00F537F8" w:rsidRPr="00D95A10" w:rsidRDefault="00F537F8" w:rsidP="00F537F8">
            <w:pPr>
              <w:jc w:val="both"/>
              <w:rPr>
                <w:sz w:val="25"/>
                <w:szCs w:val="25"/>
              </w:rPr>
            </w:pPr>
            <w:r w:rsidRPr="00D95A10">
              <w:rPr>
                <w:sz w:val="25"/>
                <w:szCs w:val="25"/>
                <w:lang w:eastAsia="zh-CN"/>
              </w:rPr>
              <w:t>Sửa đổi, bổ sung quyết định cấp phép nghiên cứu khoa học trong vùng biển quản lý hành chính trên biển của cấp tỉnh</w:t>
            </w:r>
          </w:p>
          <w:p w:rsidR="00F537F8" w:rsidRPr="00D95A10" w:rsidRDefault="00F537F8" w:rsidP="00F537F8">
            <w:pPr>
              <w:jc w:val="both"/>
              <w:rPr>
                <w:sz w:val="25"/>
                <w:szCs w:val="25"/>
              </w:rPr>
            </w:pPr>
            <w:r w:rsidRPr="00D95A10">
              <w:rPr>
                <w:sz w:val="25"/>
                <w:szCs w:val="25"/>
              </w:rPr>
              <w:t>Mã TTHC:3.000436</w:t>
            </w:r>
          </w:p>
        </w:tc>
        <w:tc>
          <w:tcPr>
            <w:tcW w:w="4820" w:type="dxa"/>
            <w:vAlign w:val="center"/>
          </w:tcPr>
          <w:p w:rsidR="00F537F8" w:rsidRPr="00D95A10" w:rsidRDefault="00F537F8" w:rsidP="002703C4">
            <w:pPr>
              <w:widowControl w:val="0"/>
              <w:spacing w:before="120"/>
              <w:jc w:val="both"/>
              <w:rPr>
                <w:spacing w:val="-2"/>
                <w:sz w:val="25"/>
                <w:szCs w:val="25"/>
                <w:lang w:val="vi-VN"/>
              </w:rPr>
            </w:pPr>
            <w:r w:rsidRPr="00D95A10">
              <w:rPr>
                <w:spacing w:val="-2"/>
                <w:sz w:val="25"/>
                <w:szCs w:val="25"/>
                <w:lang w:val="vi-VN"/>
              </w:rPr>
              <w:t xml:space="preserve">a) Thời hạn kiểm tra hồ sơ: trong thời hạn 05 ngày làm việc kể từ ngày nhận được hồ sơ, Ủy ban nhân dân cấp tỉnh có trách nhiệm kiểm tra hồ sơ, có văn bản thông báo cho tổ chức, cá nhân nước ngoài về việc tiếp nhận hồ sơ trong trường hợp hồ sơ đầy đủ theo đúng quy định hoặc có văn bản thông báo cho tổ chức, cá nhân nước ngoài về việc bổ sung, hoàn thiện hồ sơ trong trường hợp hồ sơ chưa đầy đủ theo </w:t>
            </w:r>
            <w:r w:rsidRPr="00D95A10">
              <w:rPr>
                <w:spacing w:val="-2"/>
                <w:sz w:val="25"/>
                <w:szCs w:val="25"/>
                <w:lang w:val="vi-VN"/>
              </w:rPr>
              <w:lastRenderedPageBreak/>
              <w:t>đúng quy định.</w:t>
            </w:r>
          </w:p>
          <w:p w:rsidR="00F537F8" w:rsidRPr="00D95A10" w:rsidRDefault="00F537F8" w:rsidP="00F537F8">
            <w:pPr>
              <w:widowControl w:val="0"/>
              <w:jc w:val="both"/>
              <w:rPr>
                <w:spacing w:val="-2"/>
                <w:sz w:val="25"/>
                <w:szCs w:val="25"/>
                <w:lang w:val="vi-VN"/>
              </w:rPr>
            </w:pPr>
            <w:r w:rsidRPr="00D95A10">
              <w:rPr>
                <w:spacing w:val="-2"/>
                <w:sz w:val="25"/>
                <w:szCs w:val="25"/>
                <w:lang w:val="vi-VN"/>
              </w:rPr>
              <w:t>b) Thời hạn tiến hành thẩm định: trong thời hạn 50 ngày kể từ ngày nhận được đầy đủ hồ sơ đề nghị sửa đổi, bổ sung quyết định cấp phép nghiên cứu khoa học theo quy định, Ủy ban nhân dân cấp tỉnh phải hoàn thành việc tổ chức thẩm định.</w:t>
            </w:r>
          </w:p>
          <w:p w:rsidR="00F537F8" w:rsidRPr="00D95A10" w:rsidRDefault="00F537F8" w:rsidP="002703C4">
            <w:pPr>
              <w:widowControl w:val="0"/>
              <w:spacing w:after="120"/>
              <w:jc w:val="both"/>
              <w:rPr>
                <w:sz w:val="25"/>
                <w:szCs w:val="25"/>
                <w:lang w:val="vi-VN"/>
              </w:rPr>
            </w:pPr>
            <w:r w:rsidRPr="00D95A10">
              <w:rPr>
                <w:spacing w:val="-2"/>
                <w:sz w:val="25"/>
                <w:szCs w:val="25"/>
                <w:lang w:val="vi-VN"/>
              </w:rPr>
              <w:t>c) Thời hạn giải quyết hồ sơ: trong thời hạn 60 ngày kể từ ngày nhận được đầy đủ hồ sơ theo quy định, Chủ tịch Ủy ban nhân dân cấp tỉnh quyết định về việc đồng ý hoặc không đồng ý sửa đổi, bổ sung quyết định cấp phép nghiên cứu khoa học; ban hành quyết định sửa đổi, bổ sung quyết định cấp phép nghiên cứu khoa học hoặc ban hành văn bản thông báo trong trường hợp không đồng ý sửa đổi, bổ sung quyết định cấp phép nghiên cứu khoa học.</w:t>
            </w:r>
          </w:p>
        </w:tc>
        <w:tc>
          <w:tcPr>
            <w:tcW w:w="1701" w:type="dxa"/>
            <w:vAlign w:val="center"/>
          </w:tcPr>
          <w:p w:rsidR="00F537F8" w:rsidRPr="00D95A10" w:rsidRDefault="00F537F8" w:rsidP="00F537F8">
            <w:pPr>
              <w:jc w:val="both"/>
              <w:rPr>
                <w:spacing w:val="-6"/>
                <w:sz w:val="25"/>
                <w:szCs w:val="25"/>
              </w:rPr>
            </w:pPr>
            <w:r w:rsidRPr="00D95A10">
              <w:rPr>
                <w:spacing w:val="-6"/>
                <w:sz w:val="25"/>
                <w:szCs w:val="25"/>
                <w:lang w:val="vi-VN"/>
              </w:rPr>
              <w:lastRenderedPageBreak/>
              <w:t>Trung tâm Phục vụ hành chính công</w:t>
            </w:r>
            <w:r w:rsidRPr="00D95A10">
              <w:rPr>
                <w:spacing w:val="-6"/>
                <w:sz w:val="25"/>
                <w:szCs w:val="25"/>
              </w:rPr>
              <w:t xml:space="preserve"> tỉnh</w:t>
            </w:r>
          </w:p>
        </w:tc>
        <w:tc>
          <w:tcPr>
            <w:tcW w:w="1842" w:type="dxa"/>
            <w:vAlign w:val="center"/>
          </w:tcPr>
          <w:p w:rsidR="00F537F8" w:rsidRPr="00D95A10" w:rsidRDefault="00F537F8" w:rsidP="00F537F8">
            <w:pPr>
              <w:jc w:val="both"/>
              <w:rPr>
                <w:sz w:val="25"/>
                <w:szCs w:val="25"/>
                <w:lang w:val="vi-VN"/>
              </w:rPr>
            </w:pPr>
            <w:r w:rsidRPr="00D95A10">
              <w:rPr>
                <w:sz w:val="25"/>
                <w:szCs w:val="25"/>
                <w:lang w:val="vi-VN"/>
              </w:rPr>
              <w:t>Theo quy định tại Điều 4 Thông tư số 07/2024/TT-BTC ngày 05/02/2024 của Bộ Tài chính.</w:t>
            </w:r>
          </w:p>
        </w:tc>
        <w:tc>
          <w:tcPr>
            <w:tcW w:w="3828" w:type="dxa"/>
            <w:vAlign w:val="center"/>
          </w:tcPr>
          <w:p w:rsidR="00F537F8" w:rsidRPr="00D95A10" w:rsidRDefault="00F537F8" w:rsidP="00F537F8">
            <w:pPr>
              <w:jc w:val="both"/>
              <w:rPr>
                <w:sz w:val="25"/>
                <w:szCs w:val="25"/>
              </w:rPr>
            </w:pPr>
            <w:r w:rsidRPr="00D95A10">
              <w:rPr>
                <w:sz w:val="25"/>
                <w:szCs w:val="25"/>
                <w:lang w:val="vi-VN"/>
              </w:rPr>
              <w:t>- Nghị quyết số 66.19/2026/NQ-CP</w:t>
            </w:r>
            <w:r w:rsidR="00D95A10">
              <w:rPr>
                <w:sz w:val="25"/>
                <w:szCs w:val="25"/>
              </w:rPr>
              <w:t>.</w:t>
            </w:r>
          </w:p>
          <w:p w:rsidR="00F537F8" w:rsidRPr="00D95A10" w:rsidRDefault="00F537F8" w:rsidP="00F537F8">
            <w:pPr>
              <w:jc w:val="both"/>
              <w:rPr>
                <w:sz w:val="25"/>
                <w:szCs w:val="25"/>
                <w:lang w:val="vi-VN" w:eastAsia="zh-CN"/>
              </w:rPr>
            </w:pPr>
          </w:p>
        </w:tc>
      </w:tr>
      <w:tr w:rsidR="00F537F8" w:rsidRPr="00D95A10" w:rsidTr="002703C4">
        <w:trPr>
          <w:trHeight w:val="20"/>
        </w:trPr>
        <w:tc>
          <w:tcPr>
            <w:tcW w:w="15594" w:type="dxa"/>
            <w:gridSpan w:val="7"/>
            <w:tcBorders>
              <w:top w:val="single" w:sz="4" w:space="0" w:color="auto"/>
              <w:left w:val="single" w:sz="4" w:space="0" w:color="auto"/>
              <w:bottom w:val="single" w:sz="4" w:space="0" w:color="auto"/>
            </w:tcBorders>
          </w:tcPr>
          <w:p w:rsidR="00F537F8" w:rsidRPr="00D95A10" w:rsidRDefault="00F537F8" w:rsidP="00F537F8">
            <w:pPr>
              <w:spacing w:before="60" w:after="60"/>
              <w:jc w:val="both"/>
              <w:rPr>
                <w:sz w:val="25"/>
                <w:szCs w:val="25"/>
                <w:lang w:val="af-ZA"/>
              </w:rPr>
            </w:pPr>
            <w:r w:rsidRPr="00D95A10">
              <w:rPr>
                <w:b/>
                <w:bCs/>
                <w:iCs/>
                <w:sz w:val="25"/>
                <w:szCs w:val="25"/>
              </w:rPr>
              <w:lastRenderedPageBreak/>
              <w:t>Lĩnh vực thủy sản và kiểm ngư ( 02 TTHC)</w:t>
            </w:r>
          </w:p>
        </w:tc>
      </w:tr>
      <w:tr w:rsidR="00F537F8" w:rsidRPr="00D95A10" w:rsidTr="00D95A10">
        <w:trPr>
          <w:trHeight w:val="20"/>
        </w:trPr>
        <w:tc>
          <w:tcPr>
            <w:tcW w:w="425" w:type="dxa"/>
            <w:tcBorders>
              <w:top w:val="single" w:sz="4" w:space="0" w:color="auto"/>
              <w:left w:val="single" w:sz="4" w:space="0" w:color="auto"/>
              <w:bottom w:val="single" w:sz="4" w:space="0" w:color="auto"/>
              <w:right w:val="single" w:sz="4" w:space="0" w:color="auto"/>
            </w:tcBorders>
            <w:vAlign w:val="center"/>
          </w:tcPr>
          <w:p w:rsidR="00F537F8" w:rsidRPr="00D95A10" w:rsidRDefault="00F537F8" w:rsidP="00F537F8">
            <w:pPr>
              <w:jc w:val="center"/>
              <w:rPr>
                <w:sz w:val="25"/>
                <w:szCs w:val="25"/>
              </w:rPr>
            </w:pPr>
            <w:r w:rsidRPr="00D95A10">
              <w:rPr>
                <w:sz w:val="25"/>
                <w:szCs w:val="25"/>
              </w:rPr>
              <w:t>4</w:t>
            </w:r>
          </w:p>
        </w:tc>
        <w:tc>
          <w:tcPr>
            <w:tcW w:w="426" w:type="dxa"/>
            <w:vAlign w:val="center"/>
          </w:tcPr>
          <w:p w:rsidR="00F537F8" w:rsidRPr="00D95A10" w:rsidRDefault="00F537F8" w:rsidP="00F537F8">
            <w:pPr>
              <w:jc w:val="center"/>
              <w:rPr>
                <w:sz w:val="25"/>
                <w:szCs w:val="25"/>
              </w:rPr>
            </w:pPr>
            <w:r w:rsidRPr="00D95A10">
              <w:rPr>
                <w:sz w:val="25"/>
                <w:szCs w:val="25"/>
              </w:rPr>
              <w:t>1</w:t>
            </w:r>
          </w:p>
        </w:tc>
        <w:tc>
          <w:tcPr>
            <w:tcW w:w="2552" w:type="dxa"/>
            <w:vAlign w:val="center"/>
          </w:tcPr>
          <w:p w:rsidR="00F537F8" w:rsidRPr="00D95A10" w:rsidRDefault="00F537F8" w:rsidP="00F537F8">
            <w:pPr>
              <w:jc w:val="both"/>
              <w:rPr>
                <w:sz w:val="25"/>
                <w:szCs w:val="25"/>
              </w:rPr>
            </w:pPr>
            <w:r w:rsidRPr="00D95A10">
              <w:rPr>
                <w:sz w:val="25"/>
                <w:szCs w:val="25"/>
              </w:rPr>
              <w:t>Công nhận kết quả khảo nghiệm giống thủy sản</w:t>
            </w:r>
          </w:p>
          <w:p w:rsidR="00F537F8" w:rsidRPr="00D95A10" w:rsidRDefault="00F537F8" w:rsidP="00F537F8">
            <w:pPr>
              <w:spacing w:before="120"/>
              <w:jc w:val="both"/>
              <w:rPr>
                <w:sz w:val="25"/>
                <w:szCs w:val="25"/>
                <w:lang w:eastAsia="zh-CN"/>
              </w:rPr>
            </w:pPr>
            <w:r w:rsidRPr="00D95A10">
              <w:rPr>
                <w:sz w:val="25"/>
                <w:szCs w:val="25"/>
              </w:rPr>
              <w:t>Mã TTHC 1.004943</w:t>
            </w:r>
          </w:p>
        </w:tc>
        <w:tc>
          <w:tcPr>
            <w:tcW w:w="4820" w:type="dxa"/>
            <w:vAlign w:val="center"/>
          </w:tcPr>
          <w:p w:rsidR="00F537F8" w:rsidRPr="00D95A10" w:rsidRDefault="00F537F8" w:rsidP="00F537F8">
            <w:pPr>
              <w:widowControl w:val="0"/>
              <w:spacing w:before="100" w:after="100"/>
              <w:jc w:val="both"/>
              <w:rPr>
                <w:bCs/>
                <w:sz w:val="25"/>
                <w:szCs w:val="25"/>
                <w:lang w:val="sv-SE"/>
              </w:rPr>
            </w:pPr>
            <w:r w:rsidRPr="00D95A10">
              <w:rPr>
                <w:bCs/>
                <w:sz w:val="25"/>
                <w:szCs w:val="25"/>
                <w:lang w:val="sv-SE"/>
              </w:rPr>
              <w:t xml:space="preserve">- </w:t>
            </w:r>
            <w:r w:rsidRPr="00D95A10">
              <w:rPr>
                <w:bCs/>
                <w:sz w:val="25"/>
                <w:szCs w:val="25"/>
                <w:lang w:val="vi-VN"/>
              </w:rPr>
              <w:t>0</w:t>
            </w:r>
            <w:r w:rsidRPr="00D95A10">
              <w:rPr>
                <w:bCs/>
                <w:sz w:val="25"/>
                <w:szCs w:val="25"/>
              </w:rPr>
              <w:t>7</w:t>
            </w:r>
            <w:r w:rsidRPr="00D95A10">
              <w:rPr>
                <w:bCs/>
                <w:sz w:val="25"/>
                <w:szCs w:val="25"/>
                <w:lang w:val="vi-VN"/>
              </w:rPr>
              <w:t xml:space="preserve"> ngày làm việc kể từ ngày nhận đủ hồ sơ hợp lệ</w:t>
            </w:r>
            <w:r w:rsidRPr="00D95A10">
              <w:rPr>
                <w:bCs/>
                <w:sz w:val="25"/>
                <w:szCs w:val="25"/>
                <w:lang w:val="sv-SE"/>
              </w:rPr>
              <w:t xml:space="preserve"> để thẩm định hồ sơ, </w:t>
            </w:r>
            <w:r w:rsidRPr="00D95A10">
              <w:rPr>
                <w:bCs/>
                <w:sz w:val="25"/>
                <w:szCs w:val="25"/>
                <w:lang w:val="vi-VN"/>
              </w:rPr>
              <w:t xml:space="preserve">phê duyệt đề cương khảo nghiệm, đồng thời cấp phép nhập khẩu giống thủy sản cho tổ chức, cá nhân để phục vụ khảo nghiệm (nếu là sản phẩm nhập khẩu); </w:t>
            </w:r>
          </w:p>
          <w:p w:rsidR="00F537F8" w:rsidRPr="00D95A10" w:rsidRDefault="00F537F8" w:rsidP="00F537F8">
            <w:pPr>
              <w:spacing w:before="100" w:after="100"/>
              <w:jc w:val="both"/>
              <w:rPr>
                <w:i/>
                <w:iCs/>
                <w:sz w:val="25"/>
                <w:szCs w:val="25"/>
                <w:lang w:val="sv-SE"/>
              </w:rPr>
            </w:pPr>
            <w:r w:rsidRPr="00D95A10">
              <w:rPr>
                <w:bCs/>
                <w:sz w:val="25"/>
                <w:szCs w:val="25"/>
                <w:lang w:val="sv-SE"/>
              </w:rPr>
              <w:t>-</w:t>
            </w:r>
            <w:r w:rsidRPr="00D95A10">
              <w:rPr>
                <w:bCs/>
                <w:sz w:val="25"/>
                <w:szCs w:val="25"/>
                <w:lang w:val="vi-VN"/>
              </w:rPr>
              <w:t xml:space="preserve"> 08 ngày làm việc kể từ ngày nhận được báo cáo kết quả khảo nghiệm</w:t>
            </w:r>
            <w:r w:rsidRPr="00D95A10">
              <w:rPr>
                <w:bCs/>
                <w:sz w:val="25"/>
                <w:szCs w:val="25"/>
                <w:lang w:val="sv-SE"/>
              </w:rPr>
              <w:t xml:space="preserve"> để </w:t>
            </w:r>
            <w:r w:rsidRPr="00D95A10">
              <w:rPr>
                <w:bCs/>
                <w:sz w:val="25"/>
                <w:szCs w:val="25"/>
                <w:lang w:val="vi-VN"/>
              </w:rPr>
              <w:t>tổ chức đánh giá kết quả khảo nghiệm và trình Chủ tịch Ủy ban nhân dân cấp tỉnh ban hành quyết định công nhận kết quả khảo nghiệm giống thủy sản.</w:t>
            </w:r>
          </w:p>
        </w:tc>
        <w:tc>
          <w:tcPr>
            <w:tcW w:w="1701" w:type="dxa"/>
            <w:vAlign w:val="center"/>
          </w:tcPr>
          <w:p w:rsidR="00F537F8" w:rsidRPr="00D95A10" w:rsidRDefault="00F537F8" w:rsidP="00F537F8">
            <w:pPr>
              <w:jc w:val="both"/>
              <w:rPr>
                <w:spacing w:val="-6"/>
                <w:sz w:val="25"/>
                <w:szCs w:val="25"/>
                <w:lang w:val="sv-SE"/>
              </w:rPr>
            </w:pPr>
            <w:r w:rsidRPr="00D95A10">
              <w:rPr>
                <w:spacing w:val="-6"/>
                <w:sz w:val="25"/>
                <w:szCs w:val="25"/>
                <w:lang w:val="sv-SE"/>
              </w:rPr>
              <w:t xml:space="preserve">Trung tâm Phục vụ hành chính công tỉnh </w:t>
            </w:r>
          </w:p>
        </w:tc>
        <w:tc>
          <w:tcPr>
            <w:tcW w:w="1842" w:type="dxa"/>
            <w:vAlign w:val="center"/>
          </w:tcPr>
          <w:p w:rsidR="00F537F8" w:rsidRPr="00D95A10" w:rsidRDefault="00F537F8" w:rsidP="00F537F8">
            <w:pPr>
              <w:jc w:val="center"/>
              <w:rPr>
                <w:sz w:val="25"/>
                <w:szCs w:val="25"/>
              </w:rPr>
            </w:pPr>
            <w:r w:rsidRPr="00D95A10">
              <w:rPr>
                <w:sz w:val="25"/>
                <w:szCs w:val="25"/>
              </w:rPr>
              <w:t>Không</w:t>
            </w:r>
          </w:p>
        </w:tc>
        <w:tc>
          <w:tcPr>
            <w:tcW w:w="3828" w:type="dxa"/>
            <w:vAlign w:val="center"/>
          </w:tcPr>
          <w:p w:rsidR="00F537F8" w:rsidRPr="00D95A10" w:rsidRDefault="00F537F8" w:rsidP="00F537F8">
            <w:pPr>
              <w:jc w:val="both"/>
              <w:rPr>
                <w:sz w:val="25"/>
                <w:szCs w:val="25"/>
              </w:rPr>
            </w:pPr>
            <w:r w:rsidRPr="00D95A10">
              <w:rPr>
                <w:sz w:val="25"/>
                <w:szCs w:val="25"/>
                <w:lang w:val="af-ZA"/>
              </w:rPr>
              <w:t>-</w:t>
            </w:r>
            <w:r w:rsidRPr="00D95A10">
              <w:rPr>
                <w:sz w:val="25"/>
                <w:szCs w:val="25"/>
                <w:lang w:val="vi-VN"/>
              </w:rPr>
              <w:t xml:space="preserve"> Nghị định số 41/2026/NĐ-CP</w:t>
            </w:r>
            <w:r w:rsidR="00D95A10">
              <w:rPr>
                <w:sz w:val="25"/>
                <w:szCs w:val="25"/>
              </w:rPr>
              <w:t xml:space="preserve"> ngày 25/01/2026 của Chính </w:t>
            </w:r>
            <w:r w:rsidR="00D95A10" w:rsidRPr="00D95A10">
              <w:rPr>
                <w:sz w:val="25"/>
                <w:szCs w:val="25"/>
                <w:lang w:val="vi-VN"/>
              </w:rPr>
              <w:t xml:space="preserve">Phủ </w:t>
            </w:r>
            <w:bookmarkStart w:id="1" w:name="loai_1_name"/>
            <w:r w:rsidR="00D95A10" w:rsidRPr="00D95A10">
              <w:rPr>
                <w:sz w:val="25"/>
                <w:szCs w:val="25"/>
                <w:lang w:val="vi-VN"/>
              </w:rPr>
              <w:t>quy định chi tiết một số điều và biện pháp thi hành luật thủy sản</w:t>
            </w:r>
            <w:bookmarkEnd w:id="1"/>
            <w:r w:rsidR="00D95A10">
              <w:rPr>
                <w:sz w:val="25"/>
                <w:szCs w:val="25"/>
              </w:rPr>
              <w:t>;</w:t>
            </w:r>
          </w:p>
          <w:p w:rsidR="00F537F8" w:rsidRPr="00D95A10" w:rsidRDefault="00F537F8" w:rsidP="00F537F8">
            <w:pPr>
              <w:jc w:val="both"/>
              <w:rPr>
                <w:sz w:val="25"/>
                <w:szCs w:val="25"/>
              </w:rPr>
            </w:pPr>
            <w:r w:rsidRPr="00D95A10">
              <w:rPr>
                <w:sz w:val="25"/>
                <w:szCs w:val="25"/>
                <w:lang w:val="vi-VN"/>
              </w:rPr>
              <w:t>- Nghị quyết số 66.19/2026/NQ-CP</w:t>
            </w:r>
            <w:r w:rsidR="00D95A10">
              <w:rPr>
                <w:sz w:val="25"/>
                <w:szCs w:val="25"/>
              </w:rPr>
              <w:t>.</w:t>
            </w:r>
          </w:p>
        </w:tc>
      </w:tr>
      <w:tr w:rsidR="00F537F8" w:rsidRPr="00D95A10" w:rsidTr="00D95A10">
        <w:trPr>
          <w:trHeight w:val="20"/>
        </w:trPr>
        <w:tc>
          <w:tcPr>
            <w:tcW w:w="425" w:type="dxa"/>
            <w:tcBorders>
              <w:top w:val="single" w:sz="4" w:space="0" w:color="auto"/>
              <w:left w:val="single" w:sz="4" w:space="0" w:color="auto"/>
              <w:bottom w:val="single" w:sz="4" w:space="0" w:color="auto"/>
              <w:right w:val="single" w:sz="4" w:space="0" w:color="auto"/>
            </w:tcBorders>
            <w:vAlign w:val="center"/>
          </w:tcPr>
          <w:p w:rsidR="00F537F8" w:rsidRPr="00D95A10" w:rsidRDefault="00F537F8" w:rsidP="00F537F8">
            <w:pPr>
              <w:jc w:val="center"/>
              <w:rPr>
                <w:sz w:val="25"/>
                <w:szCs w:val="25"/>
              </w:rPr>
            </w:pPr>
            <w:r w:rsidRPr="00D95A10">
              <w:rPr>
                <w:sz w:val="25"/>
                <w:szCs w:val="25"/>
              </w:rPr>
              <w:lastRenderedPageBreak/>
              <w:t>5</w:t>
            </w:r>
          </w:p>
        </w:tc>
        <w:tc>
          <w:tcPr>
            <w:tcW w:w="426" w:type="dxa"/>
            <w:vAlign w:val="center"/>
          </w:tcPr>
          <w:p w:rsidR="00F537F8" w:rsidRPr="00D95A10" w:rsidRDefault="00F537F8" w:rsidP="00F537F8">
            <w:pPr>
              <w:jc w:val="center"/>
              <w:rPr>
                <w:sz w:val="25"/>
                <w:szCs w:val="25"/>
                <w:lang w:val="vi-VN"/>
              </w:rPr>
            </w:pPr>
            <w:r w:rsidRPr="00D95A10">
              <w:rPr>
                <w:sz w:val="25"/>
                <w:szCs w:val="25"/>
              </w:rPr>
              <w:t>2</w:t>
            </w:r>
          </w:p>
        </w:tc>
        <w:tc>
          <w:tcPr>
            <w:tcW w:w="2552" w:type="dxa"/>
            <w:vAlign w:val="center"/>
          </w:tcPr>
          <w:p w:rsidR="00F537F8" w:rsidRPr="00D95A10" w:rsidRDefault="00F537F8" w:rsidP="00F537F8">
            <w:pPr>
              <w:jc w:val="both"/>
              <w:rPr>
                <w:sz w:val="25"/>
                <w:szCs w:val="25"/>
              </w:rPr>
            </w:pPr>
            <w:r w:rsidRPr="00D95A10">
              <w:rPr>
                <w:sz w:val="25"/>
                <w:szCs w:val="25"/>
                <w:lang w:val="vi-VN"/>
              </w:rPr>
              <w:t>Công nhận kết quả khảo nghiệm thức ăn thuỷ sản, sản phẩm xử lý môi trường nuôi trồng thuỷ sản</w:t>
            </w:r>
          </w:p>
          <w:p w:rsidR="00F537F8" w:rsidRPr="00D95A10" w:rsidRDefault="00F537F8" w:rsidP="00F537F8">
            <w:pPr>
              <w:jc w:val="both"/>
              <w:rPr>
                <w:sz w:val="25"/>
                <w:szCs w:val="25"/>
                <w:lang w:eastAsia="zh-CN"/>
              </w:rPr>
            </w:pPr>
            <w:r w:rsidRPr="00D95A10">
              <w:rPr>
                <w:sz w:val="25"/>
                <w:szCs w:val="25"/>
              </w:rPr>
              <w:t xml:space="preserve">Mã TTHC </w:t>
            </w:r>
            <w:r w:rsidRPr="00D95A10">
              <w:rPr>
                <w:sz w:val="25"/>
                <w:szCs w:val="25"/>
                <w:lang w:val="vi-VN" w:eastAsia="vi-VN"/>
              </w:rPr>
              <w:t>1.004683</w:t>
            </w:r>
          </w:p>
        </w:tc>
        <w:tc>
          <w:tcPr>
            <w:tcW w:w="4820" w:type="dxa"/>
            <w:vAlign w:val="center"/>
          </w:tcPr>
          <w:p w:rsidR="00F537F8" w:rsidRPr="00D95A10" w:rsidRDefault="00F537F8" w:rsidP="002703C4">
            <w:pPr>
              <w:jc w:val="both"/>
              <w:rPr>
                <w:sz w:val="25"/>
                <w:szCs w:val="25"/>
              </w:rPr>
            </w:pPr>
            <w:r w:rsidRPr="00D95A10">
              <w:rPr>
                <w:sz w:val="25"/>
                <w:szCs w:val="25"/>
                <w:lang w:val="sv-SE"/>
              </w:rPr>
              <w:t xml:space="preserve">- </w:t>
            </w:r>
            <w:r w:rsidRPr="00D95A10">
              <w:rPr>
                <w:sz w:val="25"/>
                <w:szCs w:val="25"/>
              </w:rPr>
              <w:t>07</w:t>
            </w:r>
            <w:r w:rsidRPr="00D95A10">
              <w:rPr>
                <w:sz w:val="25"/>
                <w:szCs w:val="25"/>
                <w:lang w:val="vi-VN"/>
              </w:rPr>
              <w:t xml:space="preserve"> ngàylàm việc </w:t>
            </w:r>
            <w:r w:rsidRPr="00D95A10">
              <w:rPr>
                <w:sz w:val="25"/>
                <w:szCs w:val="25"/>
              </w:rPr>
              <w:t>kể từ ngày nhận được hồ sơ đầy đủ, hợp lệ</w:t>
            </w:r>
            <w:r w:rsidRPr="00D95A10">
              <w:rPr>
                <w:sz w:val="25"/>
                <w:szCs w:val="25"/>
                <w:lang w:val="vi-VN"/>
              </w:rPr>
              <w:t xml:space="preserve"> để </w:t>
            </w:r>
            <w:r w:rsidRPr="00D95A10">
              <w:rPr>
                <w:sz w:val="25"/>
                <w:szCs w:val="25"/>
                <w:lang w:val="sv-SE"/>
              </w:rPr>
              <w:t>tổ chức thẩm định hồ sơ</w:t>
            </w:r>
            <w:r w:rsidRPr="00D95A10">
              <w:rPr>
                <w:sz w:val="25"/>
                <w:szCs w:val="25"/>
                <w:lang w:val="vi-VN"/>
              </w:rPr>
              <w:t>, phê duyệt đề cương khảo nghiệm</w:t>
            </w:r>
            <w:r w:rsidRPr="00D95A10">
              <w:rPr>
                <w:sz w:val="25"/>
                <w:szCs w:val="25"/>
              </w:rPr>
              <w:t xml:space="preserve"> và cấp phép nhập khẩu thức ăn thủy sản, sản phẩm xử lý môi trường nuôi trồng thủy sản cho tổ chức, cá nhân để phục vụ khảo nghiệm (nếu là sản phẩm nhập khẩu); </w:t>
            </w:r>
          </w:p>
          <w:p w:rsidR="00F537F8" w:rsidRPr="00D95A10" w:rsidRDefault="00F537F8" w:rsidP="002703C4">
            <w:pPr>
              <w:spacing w:after="120"/>
              <w:jc w:val="both"/>
              <w:rPr>
                <w:i/>
                <w:iCs/>
                <w:sz w:val="25"/>
                <w:szCs w:val="25"/>
              </w:rPr>
            </w:pPr>
            <w:r w:rsidRPr="00D95A10">
              <w:rPr>
                <w:sz w:val="25"/>
                <w:szCs w:val="25"/>
              </w:rPr>
              <w:t xml:space="preserve">- </w:t>
            </w:r>
            <w:r w:rsidRPr="00D95A10">
              <w:rPr>
                <w:sz w:val="25"/>
                <w:szCs w:val="25"/>
                <w:lang w:val="sv-SE"/>
              </w:rPr>
              <w:t>08</w:t>
            </w:r>
            <w:r w:rsidRPr="00D95A10">
              <w:rPr>
                <w:sz w:val="25"/>
                <w:szCs w:val="25"/>
                <w:lang w:val="vi-VN"/>
              </w:rPr>
              <w:t xml:space="preserve"> ngày làm việc kể từ </w:t>
            </w:r>
            <w:r w:rsidRPr="00D95A10">
              <w:rPr>
                <w:sz w:val="25"/>
                <w:szCs w:val="25"/>
                <w:lang w:val="sv-SE"/>
              </w:rPr>
              <w:t>ngày</w:t>
            </w:r>
            <w:r w:rsidRPr="00D95A10">
              <w:rPr>
                <w:sz w:val="25"/>
                <w:szCs w:val="25"/>
                <w:lang w:val="vi-VN"/>
              </w:rPr>
              <w:t xml:space="preserve"> nhận được báo cáo kết quả khảo nghiệm để tổ chức đánh giá kết quả khảo nghiệm và </w:t>
            </w:r>
            <w:r w:rsidRPr="00D95A10">
              <w:rPr>
                <w:spacing w:val="2"/>
                <w:sz w:val="25"/>
                <w:szCs w:val="25"/>
                <w:shd w:val="clear" w:color="auto" w:fill="FFFFFF"/>
                <w:lang w:val="vi-VN"/>
              </w:rPr>
              <w:t xml:space="preserve">công nhận kết quả khảo nghiệm thức ăn thủy sản, sản phẩm xử lý môi trường nuôi trồng </w:t>
            </w:r>
            <w:r w:rsidRPr="00D95A10">
              <w:rPr>
                <w:spacing w:val="-2"/>
                <w:sz w:val="25"/>
                <w:szCs w:val="25"/>
                <w:shd w:val="clear" w:color="auto" w:fill="FFFFFF"/>
                <w:lang w:val="vi-VN"/>
              </w:rPr>
              <w:t xml:space="preserve">thủy sản. </w:t>
            </w:r>
          </w:p>
        </w:tc>
        <w:tc>
          <w:tcPr>
            <w:tcW w:w="1701" w:type="dxa"/>
            <w:vAlign w:val="center"/>
          </w:tcPr>
          <w:p w:rsidR="00F537F8" w:rsidRPr="00D95A10" w:rsidRDefault="00F537F8" w:rsidP="00F537F8">
            <w:pPr>
              <w:jc w:val="both"/>
              <w:rPr>
                <w:spacing w:val="-6"/>
                <w:sz w:val="25"/>
                <w:szCs w:val="25"/>
              </w:rPr>
            </w:pPr>
            <w:r w:rsidRPr="00D95A10">
              <w:rPr>
                <w:spacing w:val="-6"/>
                <w:sz w:val="25"/>
                <w:szCs w:val="25"/>
              </w:rPr>
              <w:t xml:space="preserve">Trung tâm Phục vụ hành chính công tỉnh </w:t>
            </w:r>
          </w:p>
        </w:tc>
        <w:tc>
          <w:tcPr>
            <w:tcW w:w="1842" w:type="dxa"/>
            <w:vAlign w:val="center"/>
          </w:tcPr>
          <w:p w:rsidR="00F537F8" w:rsidRPr="00D95A10" w:rsidRDefault="00F537F8" w:rsidP="00F537F8">
            <w:pPr>
              <w:jc w:val="center"/>
              <w:rPr>
                <w:sz w:val="25"/>
                <w:szCs w:val="25"/>
              </w:rPr>
            </w:pPr>
            <w:r w:rsidRPr="00D95A10">
              <w:rPr>
                <w:sz w:val="25"/>
                <w:szCs w:val="25"/>
              </w:rPr>
              <w:t>Không</w:t>
            </w:r>
          </w:p>
        </w:tc>
        <w:tc>
          <w:tcPr>
            <w:tcW w:w="3828" w:type="dxa"/>
            <w:vAlign w:val="center"/>
          </w:tcPr>
          <w:p w:rsidR="00F537F8" w:rsidRPr="00D95A10" w:rsidRDefault="00F537F8" w:rsidP="00F537F8">
            <w:pPr>
              <w:jc w:val="both"/>
              <w:rPr>
                <w:sz w:val="25"/>
                <w:szCs w:val="25"/>
              </w:rPr>
            </w:pPr>
            <w:r w:rsidRPr="00D95A10">
              <w:rPr>
                <w:sz w:val="25"/>
                <w:szCs w:val="25"/>
                <w:lang w:val="af-ZA"/>
              </w:rPr>
              <w:t xml:space="preserve">- </w:t>
            </w:r>
            <w:r w:rsidRPr="00D95A10">
              <w:rPr>
                <w:sz w:val="25"/>
                <w:szCs w:val="25"/>
                <w:lang w:val="vi-VN"/>
              </w:rPr>
              <w:t xml:space="preserve">Nghị định số </w:t>
            </w:r>
            <w:r w:rsidRPr="00D95A10">
              <w:rPr>
                <w:sz w:val="25"/>
                <w:szCs w:val="25"/>
                <w:lang w:val="af-ZA"/>
              </w:rPr>
              <w:t>41</w:t>
            </w:r>
            <w:r w:rsidRPr="00D95A10">
              <w:rPr>
                <w:sz w:val="25"/>
                <w:szCs w:val="25"/>
                <w:lang w:val="vi-VN"/>
              </w:rPr>
              <w:t>/2026/NĐ-CP</w:t>
            </w:r>
            <w:r w:rsidR="00D95A10">
              <w:rPr>
                <w:sz w:val="25"/>
                <w:szCs w:val="25"/>
              </w:rPr>
              <w:t>;</w:t>
            </w:r>
          </w:p>
          <w:p w:rsidR="00F537F8" w:rsidRPr="00D95A10" w:rsidRDefault="00F537F8" w:rsidP="00F537F8">
            <w:pPr>
              <w:jc w:val="both"/>
              <w:rPr>
                <w:sz w:val="25"/>
                <w:szCs w:val="25"/>
              </w:rPr>
            </w:pPr>
            <w:r w:rsidRPr="00D95A10">
              <w:rPr>
                <w:sz w:val="25"/>
                <w:szCs w:val="25"/>
                <w:lang w:val="vi-VN"/>
              </w:rPr>
              <w:t>- Nghị quyết số 66.19/2026/NQ-CP</w:t>
            </w:r>
            <w:r w:rsidR="00D95A10">
              <w:rPr>
                <w:sz w:val="25"/>
                <w:szCs w:val="25"/>
              </w:rPr>
              <w:t>.</w:t>
            </w:r>
          </w:p>
        </w:tc>
      </w:tr>
      <w:tr w:rsidR="00F537F8" w:rsidRPr="00D95A10" w:rsidTr="002703C4">
        <w:trPr>
          <w:trHeight w:val="20"/>
        </w:trPr>
        <w:tc>
          <w:tcPr>
            <w:tcW w:w="425" w:type="dxa"/>
            <w:tcBorders>
              <w:top w:val="single" w:sz="4" w:space="0" w:color="auto"/>
              <w:left w:val="single" w:sz="4" w:space="0" w:color="auto"/>
              <w:bottom w:val="single" w:sz="4" w:space="0" w:color="auto"/>
            </w:tcBorders>
            <w:vAlign w:val="center"/>
          </w:tcPr>
          <w:p w:rsidR="00F537F8" w:rsidRPr="00D95A10" w:rsidRDefault="00F537F8" w:rsidP="00F537F8">
            <w:pPr>
              <w:jc w:val="center"/>
              <w:rPr>
                <w:b/>
                <w:bCs/>
                <w:sz w:val="25"/>
                <w:szCs w:val="25"/>
                <w:lang w:eastAsia="zh-CN"/>
              </w:rPr>
            </w:pPr>
            <w:r w:rsidRPr="00D95A10">
              <w:rPr>
                <w:b/>
                <w:bCs/>
                <w:sz w:val="25"/>
                <w:szCs w:val="25"/>
                <w:lang w:eastAsia="zh-CN"/>
              </w:rPr>
              <w:t>II</w:t>
            </w:r>
          </w:p>
        </w:tc>
        <w:tc>
          <w:tcPr>
            <w:tcW w:w="15169" w:type="dxa"/>
            <w:gridSpan w:val="6"/>
            <w:tcBorders>
              <w:top w:val="single" w:sz="4" w:space="0" w:color="auto"/>
              <w:left w:val="single" w:sz="4" w:space="0" w:color="auto"/>
              <w:bottom w:val="single" w:sz="4" w:space="0" w:color="auto"/>
            </w:tcBorders>
          </w:tcPr>
          <w:p w:rsidR="00F537F8" w:rsidRPr="00D95A10" w:rsidRDefault="00F537F8" w:rsidP="00F537F8">
            <w:pPr>
              <w:spacing w:before="40" w:after="40"/>
              <w:jc w:val="both"/>
              <w:rPr>
                <w:b/>
                <w:bCs/>
                <w:sz w:val="25"/>
                <w:szCs w:val="25"/>
                <w:lang w:val="vi-VN"/>
              </w:rPr>
            </w:pPr>
            <w:r w:rsidRPr="00D95A10">
              <w:rPr>
                <w:b/>
                <w:bCs/>
                <w:iCs/>
                <w:sz w:val="25"/>
                <w:szCs w:val="25"/>
              </w:rPr>
              <w:t>THỦ TỤC HÀNH CHÍNH CẤP XÃ ( 01 TTHC)</w:t>
            </w:r>
          </w:p>
        </w:tc>
      </w:tr>
      <w:tr w:rsidR="00F537F8" w:rsidRPr="00D95A10" w:rsidTr="002703C4">
        <w:trPr>
          <w:trHeight w:val="20"/>
        </w:trPr>
        <w:tc>
          <w:tcPr>
            <w:tcW w:w="15594" w:type="dxa"/>
            <w:gridSpan w:val="7"/>
            <w:tcBorders>
              <w:top w:val="single" w:sz="4" w:space="0" w:color="auto"/>
              <w:left w:val="single" w:sz="4" w:space="0" w:color="auto"/>
              <w:bottom w:val="single" w:sz="4" w:space="0" w:color="auto"/>
            </w:tcBorders>
          </w:tcPr>
          <w:p w:rsidR="00F537F8" w:rsidRPr="00D95A10" w:rsidRDefault="00F537F8" w:rsidP="00F537F8">
            <w:pPr>
              <w:jc w:val="both"/>
              <w:rPr>
                <w:b/>
                <w:bCs/>
                <w:sz w:val="25"/>
                <w:szCs w:val="25"/>
                <w:lang w:val="vi-VN" w:eastAsia="zh-CN"/>
              </w:rPr>
            </w:pPr>
            <w:r w:rsidRPr="00D95A10">
              <w:rPr>
                <w:b/>
                <w:bCs/>
                <w:iCs/>
                <w:sz w:val="25"/>
                <w:szCs w:val="25"/>
                <w:lang w:val="vi-VN"/>
              </w:rPr>
              <w:t>Lĩnh vực biển và hải đảo</w:t>
            </w:r>
            <w:r w:rsidRPr="00D95A10">
              <w:rPr>
                <w:b/>
                <w:bCs/>
                <w:iCs/>
                <w:sz w:val="25"/>
                <w:szCs w:val="25"/>
              </w:rPr>
              <w:t xml:space="preserve"> (01 TTHC</w:t>
            </w:r>
            <w:r w:rsidR="00D95A10">
              <w:rPr>
                <w:b/>
                <w:bCs/>
                <w:iCs/>
                <w:sz w:val="25"/>
                <w:szCs w:val="25"/>
              </w:rPr>
              <w:t>)</w:t>
            </w:r>
          </w:p>
        </w:tc>
      </w:tr>
      <w:tr w:rsidR="00F537F8" w:rsidRPr="00D95A10" w:rsidTr="00D95A10">
        <w:trPr>
          <w:trHeight w:val="20"/>
        </w:trPr>
        <w:tc>
          <w:tcPr>
            <w:tcW w:w="425" w:type="dxa"/>
            <w:tcBorders>
              <w:top w:val="single" w:sz="4" w:space="0" w:color="auto"/>
              <w:left w:val="single" w:sz="4" w:space="0" w:color="auto"/>
              <w:bottom w:val="single" w:sz="4" w:space="0" w:color="auto"/>
              <w:right w:val="single" w:sz="4" w:space="0" w:color="auto"/>
            </w:tcBorders>
            <w:vAlign w:val="center"/>
          </w:tcPr>
          <w:p w:rsidR="00F537F8" w:rsidRPr="00D95A10" w:rsidRDefault="00F537F8" w:rsidP="00F537F8">
            <w:pPr>
              <w:jc w:val="center"/>
              <w:rPr>
                <w:sz w:val="25"/>
                <w:szCs w:val="25"/>
              </w:rPr>
            </w:pPr>
            <w:r w:rsidRPr="00D95A10">
              <w:rPr>
                <w:sz w:val="25"/>
                <w:szCs w:val="25"/>
              </w:rPr>
              <w:t>1</w:t>
            </w:r>
          </w:p>
        </w:tc>
        <w:tc>
          <w:tcPr>
            <w:tcW w:w="426" w:type="dxa"/>
            <w:vAlign w:val="center"/>
          </w:tcPr>
          <w:p w:rsidR="00F537F8" w:rsidRPr="00D95A10" w:rsidRDefault="00F537F8" w:rsidP="00F537F8">
            <w:pPr>
              <w:jc w:val="center"/>
              <w:rPr>
                <w:sz w:val="25"/>
                <w:szCs w:val="25"/>
                <w:lang w:val="vi-VN"/>
              </w:rPr>
            </w:pPr>
            <w:r w:rsidRPr="00D95A10">
              <w:rPr>
                <w:sz w:val="25"/>
                <w:szCs w:val="25"/>
              </w:rPr>
              <w:t>1</w:t>
            </w:r>
          </w:p>
        </w:tc>
        <w:tc>
          <w:tcPr>
            <w:tcW w:w="2552" w:type="dxa"/>
            <w:vAlign w:val="center"/>
          </w:tcPr>
          <w:p w:rsidR="00F537F8" w:rsidRPr="00D95A10" w:rsidRDefault="00F537F8" w:rsidP="00F537F8">
            <w:pPr>
              <w:jc w:val="both"/>
              <w:rPr>
                <w:sz w:val="25"/>
                <w:szCs w:val="25"/>
              </w:rPr>
            </w:pPr>
            <w:r w:rsidRPr="00D95A10">
              <w:rPr>
                <w:sz w:val="25"/>
                <w:szCs w:val="25"/>
                <w:lang w:val="vi-VN"/>
              </w:rPr>
              <w:t>Sửa đổi, bổ sung Quyết định giao khu vực biển cho cá nhân Việt Nam để nuôi trồng thủy sản</w:t>
            </w:r>
          </w:p>
          <w:p w:rsidR="00F537F8" w:rsidRPr="00D95A10" w:rsidRDefault="00F537F8" w:rsidP="00F537F8">
            <w:pPr>
              <w:spacing w:before="120"/>
              <w:jc w:val="both"/>
              <w:rPr>
                <w:sz w:val="25"/>
                <w:szCs w:val="25"/>
              </w:rPr>
            </w:pPr>
            <w:r w:rsidRPr="00D95A10">
              <w:rPr>
                <w:sz w:val="25"/>
                <w:szCs w:val="25"/>
              </w:rPr>
              <w:t xml:space="preserve">Mã TTHC: </w:t>
            </w:r>
            <w:r w:rsidRPr="00D95A10">
              <w:rPr>
                <w:sz w:val="25"/>
                <w:szCs w:val="25"/>
                <w:lang w:eastAsia="zh-CN"/>
              </w:rPr>
              <w:t>3.000442</w:t>
            </w:r>
          </w:p>
        </w:tc>
        <w:tc>
          <w:tcPr>
            <w:tcW w:w="4820" w:type="dxa"/>
            <w:vAlign w:val="center"/>
          </w:tcPr>
          <w:p w:rsidR="00F537F8" w:rsidRPr="00D95A10" w:rsidRDefault="00F537F8" w:rsidP="00F537F8">
            <w:pPr>
              <w:widowControl w:val="0"/>
              <w:spacing w:before="120"/>
              <w:jc w:val="both"/>
              <w:rPr>
                <w:spacing w:val="-2"/>
                <w:sz w:val="25"/>
                <w:szCs w:val="25"/>
                <w:lang w:val="vi-VN"/>
              </w:rPr>
            </w:pPr>
            <w:r w:rsidRPr="00D95A10">
              <w:rPr>
                <w:spacing w:val="-2"/>
                <w:sz w:val="25"/>
                <w:szCs w:val="25"/>
                <w:lang w:val="vi-VN"/>
              </w:rPr>
              <w:t>1. Thời hạn tiếp nhận hồ sơ: Trung tâm Phục vụ hành chính công cấp xã thực hiện tiếp nhận hồ sơ thủ tục hành chính theo quy định tại Điều 17 Nghị định số 118/2025/NĐ-CP ngày 09/6/2025 của Chính phủ về thực hiện thủ tục hành chính theo cơ chế một cửa, một cửa liên thông tại Bộ phận Một cửa và Cổng Dịch vụ công quốc gia.</w:t>
            </w:r>
          </w:p>
          <w:p w:rsidR="00F537F8" w:rsidRPr="00D95A10" w:rsidRDefault="00F537F8" w:rsidP="00F537F8">
            <w:pPr>
              <w:widowControl w:val="0"/>
              <w:jc w:val="both"/>
              <w:rPr>
                <w:spacing w:val="-2"/>
                <w:sz w:val="25"/>
                <w:szCs w:val="25"/>
                <w:lang w:val="vi-VN"/>
              </w:rPr>
            </w:pPr>
            <w:r w:rsidRPr="00D95A10">
              <w:rPr>
                <w:spacing w:val="-2"/>
                <w:sz w:val="25"/>
                <w:szCs w:val="25"/>
                <w:lang w:val="vi-VN"/>
              </w:rPr>
              <w:t xml:space="preserve">2. Thời hạn thẩm định hồ sơ: </w:t>
            </w:r>
          </w:p>
          <w:p w:rsidR="00F537F8" w:rsidRPr="00D95A10" w:rsidRDefault="00F537F8" w:rsidP="00F537F8">
            <w:pPr>
              <w:widowControl w:val="0"/>
              <w:jc w:val="both"/>
              <w:rPr>
                <w:spacing w:val="-2"/>
                <w:sz w:val="25"/>
                <w:szCs w:val="25"/>
                <w:lang w:val="vi-VN"/>
              </w:rPr>
            </w:pPr>
            <w:r w:rsidRPr="00D95A10">
              <w:rPr>
                <w:spacing w:val="-2"/>
                <w:sz w:val="25"/>
                <w:szCs w:val="25"/>
                <w:lang w:val="vi-VN"/>
              </w:rPr>
              <w:t>a) Trong thời hạn 25 ngày kể từ ngày nhận đủ hồ sơ hợp lệ, cơ quan chuyên môn về nông nghiệp và môi trường cấp xã tổ chức thẩm định, tổ chức kiểm tra thực địa (trường hợp cần thiết) và trình Chủ tịch Ủy ban nhân dân cấp xã xem xét, quyết định.</w:t>
            </w:r>
          </w:p>
          <w:p w:rsidR="00F537F8" w:rsidRPr="00D95A10" w:rsidRDefault="00F537F8" w:rsidP="00F537F8">
            <w:pPr>
              <w:widowControl w:val="0"/>
              <w:jc w:val="both"/>
              <w:rPr>
                <w:spacing w:val="-2"/>
                <w:sz w:val="25"/>
                <w:szCs w:val="25"/>
                <w:lang w:val="vi-VN"/>
              </w:rPr>
            </w:pPr>
            <w:r w:rsidRPr="00D95A10">
              <w:rPr>
                <w:spacing w:val="-2"/>
                <w:sz w:val="25"/>
                <w:szCs w:val="25"/>
                <w:lang w:val="vi-VN"/>
              </w:rPr>
              <w:t xml:space="preserve">b) Trường hợp cần thiết lấy ý kiến văn bản có liên quan, thời gian lấy ý kiến: không quá 12 </w:t>
            </w:r>
            <w:r w:rsidRPr="00D95A10">
              <w:rPr>
                <w:spacing w:val="-2"/>
                <w:sz w:val="25"/>
                <w:szCs w:val="25"/>
                <w:lang w:val="vi-VN"/>
              </w:rPr>
              <w:lastRenderedPageBreak/>
              <w:t>ngày kể từ ngày nhận được văn bản xin ý kiến kèm theo đầy đủ hồ sơ theo quy định; trường hợp quá thời hạn nêu trên mà không nhận được văn bản trả lời, cơ quan có thẩm quyền xem xét, quyết định việc giao khu vực biển;</w:t>
            </w:r>
          </w:p>
          <w:p w:rsidR="00F537F8" w:rsidRPr="00D95A10" w:rsidRDefault="00F537F8" w:rsidP="00F537F8">
            <w:pPr>
              <w:widowControl w:val="0"/>
              <w:jc w:val="both"/>
              <w:rPr>
                <w:spacing w:val="-2"/>
                <w:sz w:val="25"/>
                <w:szCs w:val="25"/>
                <w:lang w:val="vi-VN"/>
              </w:rPr>
            </w:pPr>
            <w:r w:rsidRPr="00D95A10">
              <w:rPr>
                <w:spacing w:val="-2"/>
                <w:sz w:val="25"/>
                <w:szCs w:val="25"/>
                <w:lang w:val="vi-VN"/>
              </w:rPr>
              <w:t>c) Trường hợp cần thiết thời gian kiểm tra thực địa: không quá 03 ngày làm việc;</w:t>
            </w:r>
          </w:p>
          <w:p w:rsidR="00F537F8" w:rsidRPr="00D95A10" w:rsidRDefault="00F537F8" w:rsidP="00F537F8">
            <w:pPr>
              <w:widowControl w:val="0"/>
              <w:jc w:val="both"/>
              <w:rPr>
                <w:spacing w:val="-2"/>
                <w:sz w:val="25"/>
                <w:szCs w:val="25"/>
                <w:lang w:val="vi-VN"/>
              </w:rPr>
            </w:pPr>
            <w:r w:rsidRPr="00D95A10">
              <w:rPr>
                <w:spacing w:val="-2"/>
                <w:sz w:val="25"/>
                <w:szCs w:val="25"/>
                <w:lang w:val="vi-VN"/>
              </w:rPr>
              <w:t>d) Thời gian lấy ý kiến và tổ chức kiểm tra thực địa không tính vào thời gian thẩm định hồ sơ.</w:t>
            </w:r>
          </w:p>
          <w:p w:rsidR="00F537F8" w:rsidRPr="00D95A10" w:rsidRDefault="00F537F8" w:rsidP="00F537F8">
            <w:pPr>
              <w:widowControl w:val="0"/>
              <w:jc w:val="both"/>
              <w:rPr>
                <w:spacing w:val="-2"/>
                <w:sz w:val="25"/>
                <w:szCs w:val="25"/>
                <w:lang w:val="vi-VN"/>
              </w:rPr>
            </w:pPr>
            <w:r w:rsidRPr="00D95A10">
              <w:rPr>
                <w:spacing w:val="-2"/>
                <w:sz w:val="25"/>
                <w:szCs w:val="25"/>
                <w:lang w:val="vi-VN"/>
              </w:rPr>
              <w:t>Trường hợp hồ sơ không đáp ứng đủ điều kiện để được sửa đổi, bổ sung Quyết định giao khu vực biển hoặc thuộc các trường hợp từ chối giao khu vực biển quy định tại Điều 5a Nghị định số 11/2021/NĐ-CP (đã được sửa đổi, bổ sung tại Nghị định số 65/2025/NĐ-CP và Nghị định số 44/2026/NĐ-CP), cơ quan thẩm định hồ sơ trả lại hồ sơ cho Bộ phận Một cửa kèm theo thông báo bằng văn bản trên Hệ thống thông tin giải quyết thủ tục hành chính; cán bộ, công chức, viên chức, nhân viên Trung tâm Phục vụ hành chính công cấp xã thực hiện đóng hồ sơ trên Hệ thống thông tin giải quyết thủ tục hành chính.</w:t>
            </w:r>
          </w:p>
          <w:p w:rsidR="00F537F8" w:rsidRPr="00D95A10" w:rsidRDefault="00F537F8" w:rsidP="00F537F8">
            <w:pPr>
              <w:widowControl w:val="0"/>
              <w:jc w:val="both"/>
              <w:rPr>
                <w:spacing w:val="-2"/>
                <w:sz w:val="25"/>
                <w:szCs w:val="25"/>
                <w:lang w:val="vi-VN"/>
              </w:rPr>
            </w:pPr>
            <w:r w:rsidRPr="00D95A10">
              <w:rPr>
                <w:spacing w:val="-2"/>
                <w:sz w:val="25"/>
                <w:szCs w:val="25"/>
                <w:lang w:val="vi-VN"/>
              </w:rPr>
              <w:t xml:space="preserve">Trường hợp hồ sơ còn chưa đủ thông tin để quyết định sửa đổi, bổ sung Quyết định giao khu vực biển, cơ quan thẩm định hồ sơ gửi văn bản nêu rõ lý do, nội dung, thông tin cần bổ sung, giải trình đến tổ chức, cá nhân. Tổ chức, cá nhân gửi văn bản cung cấp bổ sung thông tin, giải trình đến cơ quan thẩm định hồ sơ trong thời hạn không quá 10 ngày kể từ </w:t>
            </w:r>
            <w:r w:rsidRPr="00D95A10">
              <w:rPr>
                <w:spacing w:val="-2"/>
                <w:sz w:val="25"/>
                <w:szCs w:val="25"/>
                <w:lang w:val="vi-VN"/>
              </w:rPr>
              <w:lastRenderedPageBreak/>
              <w:t>ngày cơ quan thẩm định hồ sơ gửi văn bản (thời gian này không tính vào thời hạn giải quyết hồ sơ); sau 10 ngày, nếu tổ chức, cá nhân không hoàn thành việc hoàn thiện hồ sơ, cán bộ, công chức, viên chức, nhân viên Trung tâm Phục vụ hành chính công cấp xã thực hiện đóng hồ sơ trên Hệ thống thông tin giải quyết thủ tục hành chính. Thời hạn giải quyết được tính lại từ đầu sau khi nhận đủ hồ sơ.</w:t>
            </w:r>
          </w:p>
          <w:p w:rsidR="00F537F8" w:rsidRPr="00D95A10" w:rsidRDefault="00F537F8" w:rsidP="00F537F8">
            <w:pPr>
              <w:widowControl w:val="0"/>
              <w:jc w:val="both"/>
              <w:rPr>
                <w:spacing w:val="-2"/>
                <w:sz w:val="25"/>
                <w:szCs w:val="25"/>
                <w:lang w:val="vi-VN"/>
              </w:rPr>
            </w:pPr>
            <w:r w:rsidRPr="00D95A10">
              <w:rPr>
                <w:spacing w:val="-2"/>
                <w:sz w:val="25"/>
                <w:szCs w:val="25"/>
                <w:lang w:val="vi-VN"/>
              </w:rPr>
              <w:t>Trường hợp hồ sơ đủ điều kiện để được sửa đổi, bổ sung Quyết định giao khu vực biển, cơ quan thẩm định hồ sơ trình hồ sơ cho người có thẩm quyền sửa đổi, bổ sung Quyết định giao khu vực biển.</w:t>
            </w:r>
          </w:p>
          <w:p w:rsidR="00F537F8" w:rsidRPr="00D95A10" w:rsidRDefault="00F537F8" w:rsidP="00F537F8">
            <w:pPr>
              <w:widowControl w:val="0"/>
              <w:jc w:val="both"/>
              <w:rPr>
                <w:spacing w:val="-2"/>
                <w:sz w:val="25"/>
                <w:szCs w:val="25"/>
                <w:lang w:val="vi-VN"/>
              </w:rPr>
            </w:pPr>
            <w:r w:rsidRPr="00D95A10">
              <w:rPr>
                <w:spacing w:val="-2"/>
                <w:sz w:val="25"/>
                <w:szCs w:val="25"/>
                <w:lang w:val="vi-VN"/>
              </w:rPr>
              <w:t>3. Thời hạn trình, giải quyết hồ sơ: Trong thời hạn 03 ngày làm việc kể từ nhận được hồ sơ trình của cơ quan chuyên môn về nông nghiệp và môi trường cấp xã, Chủ tịch Ủy ban nhân dân cấp xã quyết định sửa đổi, bổ sung Quyết định giao khu vực biển; trường hợp không sửa đổi, bổ sung Quyết định giao khu vực biển thì có ngay văn bản thông báo và nêu rõ lý do cho tổ chức, cá nhân.</w:t>
            </w:r>
          </w:p>
        </w:tc>
        <w:tc>
          <w:tcPr>
            <w:tcW w:w="1701" w:type="dxa"/>
            <w:vAlign w:val="center"/>
          </w:tcPr>
          <w:p w:rsidR="00F537F8" w:rsidRPr="00D95A10" w:rsidRDefault="00F537F8" w:rsidP="00F537F8">
            <w:pPr>
              <w:spacing w:before="120"/>
              <w:jc w:val="both"/>
              <w:rPr>
                <w:spacing w:val="6"/>
                <w:sz w:val="25"/>
                <w:szCs w:val="25"/>
                <w:lang w:val="vi-VN"/>
              </w:rPr>
            </w:pPr>
            <w:r w:rsidRPr="00D95A10">
              <w:rPr>
                <w:spacing w:val="6"/>
                <w:sz w:val="25"/>
                <w:szCs w:val="25"/>
                <w:lang w:val="vi-VN"/>
              </w:rPr>
              <w:lastRenderedPageBreak/>
              <w:t xml:space="preserve">Trung tâm Phục vụ hành chính công cấp xã </w:t>
            </w:r>
          </w:p>
        </w:tc>
        <w:tc>
          <w:tcPr>
            <w:tcW w:w="1842" w:type="dxa"/>
            <w:vAlign w:val="center"/>
          </w:tcPr>
          <w:p w:rsidR="00F537F8" w:rsidRPr="00D95A10" w:rsidRDefault="00F537F8" w:rsidP="00F537F8">
            <w:pPr>
              <w:jc w:val="center"/>
              <w:rPr>
                <w:sz w:val="25"/>
                <w:szCs w:val="25"/>
              </w:rPr>
            </w:pPr>
            <w:r w:rsidRPr="00D95A10">
              <w:rPr>
                <w:sz w:val="25"/>
                <w:szCs w:val="25"/>
              </w:rPr>
              <w:t>Không</w:t>
            </w:r>
          </w:p>
        </w:tc>
        <w:tc>
          <w:tcPr>
            <w:tcW w:w="3828" w:type="dxa"/>
            <w:vAlign w:val="center"/>
          </w:tcPr>
          <w:p w:rsidR="00F537F8" w:rsidRPr="00D95A10" w:rsidRDefault="00F537F8" w:rsidP="00F537F8">
            <w:pPr>
              <w:widowControl w:val="0"/>
              <w:tabs>
                <w:tab w:val="left" w:pos="851"/>
              </w:tabs>
              <w:spacing w:before="120" w:line="340" w:lineRule="exact"/>
              <w:jc w:val="both"/>
              <w:rPr>
                <w:bCs/>
                <w:sz w:val="25"/>
                <w:szCs w:val="25"/>
              </w:rPr>
            </w:pPr>
            <w:r w:rsidRPr="00D95A10">
              <w:rPr>
                <w:bCs/>
                <w:sz w:val="25"/>
                <w:szCs w:val="25"/>
                <w:lang w:val="vi-VN"/>
              </w:rPr>
              <w:t>- Nghị quyết số 17/2026/NQ-CP</w:t>
            </w:r>
            <w:r w:rsidR="00D95A10">
              <w:rPr>
                <w:bCs/>
                <w:sz w:val="25"/>
                <w:szCs w:val="25"/>
              </w:rPr>
              <w:t>.</w:t>
            </w:r>
          </w:p>
          <w:p w:rsidR="00F537F8" w:rsidRPr="00D95A10" w:rsidRDefault="00F537F8" w:rsidP="00F537F8">
            <w:pPr>
              <w:jc w:val="both"/>
              <w:rPr>
                <w:sz w:val="25"/>
                <w:szCs w:val="25"/>
                <w:lang w:val="vi-VN" w:eastAsia="zh-CN"/>
              </w:rPr>
            </w:pPr>
          </w:p>
        </w:tc>
      </w:tr>
    </w:tbl>
    <w:p w:rsidR="00B71D0A" w:rsidRPr="00C26078" w:rsidRDefault="00B71D0A" w:rsidP="00B71D0A">
      <w:pPr>
        <w:spacing w:before="120" w:after="120" w:line="252" w:lineRule="auto"/>
        <w:ind w:firstLine="567"/>
        <w:jc w:val="both"/>
        <w:rPr>
          <w:b/>
          <w:bCs/>
          <w:color w:val="000000" w:themeColor="text1"/>
          <w:sz w:val="26"/>
          <w:szCs w:val="26"/>
        </w:rPr>
      </w:pPr>
      <w:r>
        <w:rPr>
          <w:b/>
          <w:bCs/>
          <w:color w:val="000000" w:themeColor="text1"/>
          <w:sz w:val="26"/>
          <w:szCs w:val="26"/>
        </w:rPr>
        <w:lastRenderedPageBreak/>
        <w:t>B</w:t>
      </w:r>
      <w:r w:rsidRPr="00C26078">
        <w:rPr>
          <w:b/>
          <w:bCs/>
          <w:color w:val="000000" w:themeColor="text1"/>
          <w:sz w:val="26"/>
          <w:szCs w:val="26"/>
        </w:rPr>
        <w:t>. THỦ TỤC HÀNH CHÍNH BỊ BÃI BỎ (</w:t>
      </w:r>
      <w:r>
        <w:rPr>
          <w:b/>
          <w:bCs/>
          <w:color w:val="000000" w:themeColor="text1"/>
          <w:sz w:val="26"/>
          <w:szCs w:val="26"/>
        </w:rPr>
        <w:t xml:space="preserve">7 </w:t>
      </w:r>
      <w:r w:rsidRPr="00C26078">
        <w:rPr>
          <w:b/>
          <w:bCs/>
          <w:color w:val="000000" w:themeColor="text1"/>
          <w:sz w:val="26"/>
          <w:szCs w:val="26"/>
        </w:rPr>
        <w:t>TTHC)</w:t>
      </w:r>
    </w:p>
    <w:tbl>
      <w:tblPr>
        <w:tblW w:w="1559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709"/>
        <w:gridCol w:w="7796"/>
        <w:gridCol w:w="6521"/>
      </w:tblGrid>
      <w:tr w:rsidR="00177028" w:rsidRPr="006645D5" w:rsidTr="006645D5">
        <w:trPr>
          <w:trHeight w:val="20"/>
          <w:tblHeader/>
        </w:trPr>
        <w:tc>
          <w:tcPr>
            <w:tcW w:w="1277" w:type="dxa"/>
            <w:gridSpan w:val="2"/>
            <w:vAlign w:val="center"/>
          </w:tcPr>
          <w:p w:rsidR="00177028" w:rsidRPr="006645D5" w:rsidRDefault="00177028" w:rsidP="00253613">
            <w:pPr>
              <w:jc w:val="center"/>
              <w:rPr>
                <w:b/>
                <w:color w:val="000000" w:themeColor="text1"/>
                <w:sz w:val="25"/>
                <w:szCs w:val="25"/>
              </w:rPr>
            </w:pPr>
            <w:r w:rsidRPr="006645D5">
              <w:rPr>
                <w:b/>
                <w:color w:val="000000" w:themeColor="text1"/>
                <w:sz w:val="25"/>
                <w:szCs w:val="25"/>
              </w:rPr>
              <w:t>STT</w:t>
            </w:r>
          </w:p>
        </w:tc>
        <w:tc>
          <w:tcPr>
            <w:tcW w:w="7796" w:type="dxa"/>
            <w:shd w:val="clear" w:color="auto" w:fill="auto"/>
            <w:vAlign w:val="center"/>
          </w:tcPr>
          <w:p w:rsidR="00177028" w:rsidRPr="006645D5" w:rsidRDefault="00177028" w:rsidP="00253613">
            <w:pPr>
              <w:jc w:val="center"/>
              <w:rPr>
                <w:b/>
                <w:color w:val="000000" w:themeColor="text1"/>
                <w:sz w:val="25"/>
                <w:szCs w:val="25"/>
              </w:rPr>
            </w:pPr>
            <w:r w:rsidRPr="006645D5">
              <w:rPr>
                <w:b/>
                <w:color w:val="000000" w:themeColor="text1"/>
                <w:sz w:val="25"/>
                <w:szCs w:val="25"/>
              </w:rPr>
              <w:t>Tên thủ tục hành chính</w:t>
            </w:r>
          </w:p>
        </w:tc>
        <w:tc>
          <w:tcPr>
            <w:tcW w:w="6521" w:type="dxa"/>
            <w:shd w:val="clear" w:color="auto" w:fill="auto"/>
            <w:vAlign w:val="center"/>
          </w:tcPr>
          <w:p w:rsidR="00177028" w:rsidRPr="006645D5" w:rsidRDefault="00177028" w:rsidP="00253613">
            <w:pPr>
              <w:jc w:val="center"/>
              <w:rPr>
                <w:b/>
                <w:color w:val="000000" w:themeColor="text1"/>
                <w:sz w:val="25"/>
                <w:szCs w:val="25"/>
              </w:rPr>
            </w:pPr>
            <w:r w:rsidRPr="006645D5">
              <w:rPr>
                <w:b/>
                <w:color w:val="000000" w:themeColor="text1"/>
                <w:sz w:val="25"/>
                <w:szCs w:val="25"/>
              </w:rPr>
              <w:t>Văn bản QPPL quy định nội dung bãi bỏ</w:t>
            </w:r>
          </w:p>
          <w:p w:rsidR="00177028" w:rsidRPr="006645D5" w:rsidRDefault="00177028" w:rsidP="00253613">
            <w:pPr>
              <w:jc w:val="center"/>
              <w:rPr>
                <w:b/>
                <w:color w:val="000000" w:themeColor="text1"/>
                <w:sz w:val="25"/>
                <w:szCs w:val="25"/>
              </w:rPr>
            </w:pPr>
            <w:r w:rsidRPr="006645D5">
              <w:rPr>
                <w:b/>
                <w:color w:val="000000" w:themeColor="text1"/>
                <w:sz w:val="25"/>
                <w:szCs w:val="25"/>
              </w:rPr>
              <w:t xml:space="preserve"> thủ tục hành chính</w:t>
            </w:r>
          </w:p>
        </w:tc>
      </w:tr>
      <w:tr w:rsidR="00F9421B" w:rsidRPr="006645D5" w:rsidTr="006645D5">
        <w:trPr>
          <w:trHeight w:val="20"/>
        </w:trPr>
        <w:tc>
          <w:tcPr>
            <w:tcW w:w="568" w:type="dxa"/>
            <w:vAlign w:val="center"/>
          </w:tcPr>
          <w:p w:rsidR="00F9421B" w:rsidRPr="006645D5" w:rsidRDefault="00F9421B" w:rsidP="00F9421B">
            <w:pPr>
              <w:jc w:val="center"/>
              <w:rPr>
                <w:sz w:val="25"/>
                <w:szCs w:val="25"/>
              </w:rPr>
            </w:pPr>
            <w:r w:rsidRPr="006645D5">
              <w:rPr>
                <w:sz w:val="25"/>
                <w:szCs w:val="25"/>
              </w:rPr>
              <w:t>I</w:t>
            </w:r>
          </w:p>
        </w:tc>
        <w:tc>
          <w:tcPr>
            <w:tcW w:w="8505" w:type="dxa"/>
            <w:gridSpan w:val="2"/>
            <w:vAlign w:val="center"/>
          </w:tcPr>
          <w:p w:rsidR="00F9421B" w:rsidRPr="006645D5" w:rsidRDefault="00F9421B" w:rsidP="00F9421B">
            <w:pPr>
              <w:pStyle w:val="Khc0"/>
              <w:spacing w:before="120" w:after="60"/>
              <w:ind w:firstLine="0"/>
              <w:jc w:val="both"/>
              <w:rPr>
                <w:rFonts w:ascii="Times New Roman" w:hAnsi="Times New Roman" w:cs="Times New Roman"/>
                <w:sz w:val="25"/>
                <w:szCs w:val="25"/>
              </w:rPr>
            </w:pPr>
            <w:r w:rsidRPr="006645D5">
              <w:rPr>
                <w:rFonts w:ascii="Times New Roman" w:hAnsi="Times New Roman" w:cs="Times New Roman"/>
                <w:b/>
                <w:bCs/>
                <w:iCs/>
                <w:sz w:val="25"/>
                <w:szCs w:val="25"/>
              </w:rPr>
              <w:t>THỦ TỤC HÀNH CHÍNH CẤP TỈNH ( 06 TTHC)</w:t>
            </w:r>
          </w:p>
        </w:tc>
        <w:tc>
          <w:tcPr>
            <w:tcW w:w="6521" w:type="dxa"/>
            <w:shd w:val="clear" w:color="auto" w:fill="auto"/>
            <w:vAlign w:val="center"/>
          </w:tcPr>
          <w:p w:rsidR="00F9421B" w:rsidRPr="006645D5" w:rsidRDefault="00F9421B" w:rsidP="00F9421B">
            <w:pPr>
              <w:jc w:val="both"/>
              <w:rPr>
                <w:sz w:val="25"/>
                <w:szCs w:val="25"/>
              </w:rPr>
            </w:pPr>
          </w:p>
        </w:tc>
      </w:tr>
      <w:tr w:rsidR="00F9421B" w:rsidRPr="006645D5" w:rsidTr="006645D5">
        <w:trPr>
          <w:trHeight w:val="538"/>
        </w:trPr>
        <w:tc>
          <w:tcPr>
            <w:tcW w:w="15594" w:type="dxa"/>
            <w:gridSpan w:val="4"/>
            <w:vAlign w:val="center"/>
          </w:tcPr>
          <w:p w:rsidR="00F9421B" w:rsidRPr="006645D5" w:rsidRDefault="00F9421B" w:rsidP="00F9421B">
            <w:pPr>
              <w:jc w:val="both"/>
              <w:rPr>
                <w:b/>
                <w:bCs/>
                <w:sz w:val="25"/>
                <w:szCs w:val="25"/>
              </w:rPr>
            </w:pPr>
            <w:r w:rsidRPr="006645D5">
              <w:rPr>
                <w:b/>
                <w:bCs/>
                <w:sz w:val="25"/>
                <w:szCs w:val="25"/>
              </w:rPr>
              <w:t>Lĩnh vực thuỷ sản và kiểm ngư</w:t>
            </w:r>
            <w:r w:rsidR="006645D5">
              <w:rPr>
                <w:b/>
                <w:bCs/>
                <w:sz w:val="25"/>
                <w:szCs w:val="25"/>
              </w:rPr>
              <w:t xml:space="preserve"> (01 TTHC)</w:t>
            </w:r>
          </w:p>
        </w:tc>
      </w:tr>
      <w:tr w:rsidR="00F9421B" w:rsidRPr="006645D5" w:rsidTr="006645D5">
        <w:trPr>
          <w:trHeight w:val="998"/>
        </w:trPr>
        <w:tc>
          <w:tcPr>
            <w:tcW w:w="568" w:type="dxa"/>
            <w:vAlign w:val="center"/>
          </w:tcPr>
          <w:p w:rsidR="00F9421B" w:rsidRPr="006645D5" w:rsidRDefault="00F9421B" w:rsidP="00F9421B">
            <w:pPr>
              <w:jc w:val="center"/>
              <w:rPr>
                <w:bCs/>
                <w:color w:val="000000" w:themeColor="text1"/>
                <w:sz w:val="25"/>
                <w:szCs w:val="25"/>
              </w:rPr>
            </w:pPr>
            <w:r w:rsidRPr="006645D5">
              <w:rPr>
                <w:sz w:val="25"/>
                <w:szCs w:val="25"/>
              </w:rPr>
              <w:lastRenderedPageBreak/>
              <w:t>1</w:t>
            </w:r>
          </w:p>
        </w:tc>
        <w:tc>
          <w:tcPr>
            <w:tcW w:w="709" w:type="dxa"/>
            <w:vAlign w:val="center"/>
          </w:tcPr>
          <w:p w:rsidR="00F9421B" w:rsidRPr="006645D5" w:rsidRDefault="00F9421B" w:rsidP="00F9421B">
            <w:pPr>
              <w:pStyle w:val="Khc0"/>
              <w:spacing w:before="60" w:after="60"/>
              <w:ind w:firstLine="0"/>
              <w:jc w:val="center"/>
              <w:rPr>
                <w:rFonts w:ascii="Times New Roman" w:hAnsi="Times New Roman" w:cs="Times New Roman"/>
                <w:sz w:val="25"/>
                <w:szCs w:val="25"/>
              </w:rPr>
            </w:pPr>
            <w:r w:rsidRPr="006645D5">
              <w:rPr>
                <w:rFonts w:ascii="Times New Roman" w:hAnsi="Times New Roman" w:cs="Times New Roman"/>
                <w:sz w:val="25"/>
                <w:szCs w:val="25"/>
              </w:rPr>
              <w:t>1</w:t>
            </w:r>
          </w:p>
        </w:tc>
        <w:tc>
          <w:tcPr>
            <w:tcW w:w="7796" w:type="dxa"/>
            <w:shd w:val="clear" w:color="auto" w:fill="auto"/>
            <w:vAlign w:val="center"/>
          </w:tcPr>
          <w:p w:rsidR="00F9421B" w:rsidRPr="006645D5" w:rsidRDefault="00F9421B" w:rsidP="00F9421B">
            <w:pPr>
              <w:pStyle w:val="Khc0"/>
              <w:spacing w:before="60" w:after="60"/>
              <w:ind w:firstLine="0"/>
              <w:jc w:val="both"/>
              <w:rPr>
                <w:rFonts w:ascii="Times New Roman" w:hAnsi="Times New Roman" w:cs="Times New Roman"/>
                <w:sz w:val="25"/>
                <w:szCs w:val="25"/>
              </w:rPr>
            </w:pPr>
            <w:r w:rsidRPr="006645D5">
              <w:rPr>
                <w:rFonts w:ascii="Times New Roman" w:hAnsi="Times New Roman" w:cs="Times New Roman"/>
                <w:sz w:val="25"/>
                <w:szCs w:val="25"/>
              </w:rPr>
              <w:t>Cấp, cấp lại giấy chứng nhận cơ sở đủ điều kiện đóng mới, cải hoán tàu cá</w:t>
            </w:r>
          </w:p>
          <w:p w:rsidR="00F9421B" w:rsidRPr="006645D5" w:rsidRDefault="00F9421B" w:rsidP="00F9421B">
            <w:pPr>
              <w:pStyle w:val="Khc0"/>
              <w:spacing w:before="60" w:after="60"/>
              <w:ind w:firstLine="0"/>
              <w:jc w:val="both"/>
              <w:rPr>
                <w:rFonts w:ascii="Times New Roman" w:hAnsi="Times New Roman" w:cs="Times New Roman"/>
                <w:color w:val="000000" w:themeColor="text1"/>
                <w:sz w:val="25"/>
                <w:szCs w:val="25"/>
                <w:lang w:val="vi-VN" w:eastAsia="vi-VN" w:bidi="vi-VN"/>
              </w:rPr>
            </w:pPr>
            <w:r w:rsidRPr="006645D5">
              <w:rPr>
                <w:rFonts w:ascii="Times New Roman" w:hAnsi="Times New Roman" w:cs="Times New Roman"/>
                <w:sz w:val="25"/>
                <w:szCs w:val="25"/>
              </w:rPr>
              <w:t xml:space="preserve"> Mã TTHC: 1.004697</w:t>
            </w:r>
          </w:p>
        </w:tc>
        <w:tc>
          <w:tcPr>
            <w:tcW w:w="6521" w:type="dxa"/>
            <w:shd w:val="clear" w:color="auto" w:fill="auto"/>
            <w:vAlign w:val="center"/>
          </w:tcPr>
          <w:p w:rsidR="00F9421B" w:rsidRPr="006645D5" w:rsidRDefault="00F9421B" w:rsidP="00F9421B">
            <w:pPr>
              <w:jc w:val="both"/>
              <w:rPr>
                <w:sz w:val="25"/>
                <w:szCs w:val="25"/>
              </w:rPr>
            </w:pPr>
            <w:r w:rsidRPr="006645D5">
              <w:rPr>
                <w:sz w:val="25"/>
                <w:szCs w:val="25"/>
              </w:rPr>
              <w:t>- Nghị định số 41/2026/NĐ-CP</w:t>
            </w:r>
            <w:r w:rsidR="006645D5">
              <w:rPr>
                <w:sz w:val="25"/>
                <w:szCs w:val="25"/>
              </w:rPr>
              <w:t>;</w:t>
            </w:r>
          </w:p>
          <w:p w:rsidR="00F9421B" w:rsidRPr="006645D5" w:rsidRDefault="00F9421B" w:rsidP="00F9421B">
            <w:pPr>
              <w:jc w:val="both"/>
              <w:rPr>
                <w:color w:val="000000" w:themeColor="text1"/>
                <w:sz w:val="25"/>
                <w:szCs w:val="25"/>
                <w:lang w:val="vi-VN" w:eastAsia="vi-VN" w:bidi="vi-VN"/>
              </w:rPr>
            </w:pPr>
            <w:r w:rsidRPr="006645D5">
              <w:rPr>
                <w:sz w:val="25"/>
                <w:szCs w:val="25"/>
              </w:rPr>
              <w:t>- Nghị quyết số 66.19/2026/NQ-CP</w:t>
            </w:r>
            <w:r w:rsidR="006645D5">
              <w:rPr>
                <w:sz w:val="25"/>
                <w:szCs w:val="25"/>
              </w:rPr>
              <w:t>.</w:t>
            </w:r>
          </w:p>
        </w:tc>
      </w:tr>
      <w:tr w:rsidR="00F9421B" w:rsidRPr="006645D5" w:rsidTr="006645D5">
        <w:trPr>
          <w:trHeight w:val="602"/>
        </w:trPr>
        <w:tc>
          <w:tcPr>
            <w:tcW w:w="15594" w:type="dxa"/>
            <w:gridSpan w:val="4"/>
            <w:vAlign w:val="center"/>
          </w:tcPr>
          <w:p w:rsidR="00F9421B" w:rsidRPr="006645D5" w:rsidRDefault="00F9421B" w:rsidP="00F9421B">
            <w:pPr>
              <w:jc w:val="both"/>
              <w:rPr>
                <w:b/>
                <w:bCs/>
                <w:sz w:val="25"/>
                <w:szCs w:val="25"/>
              </w:rPr>
            </w:pPr>
            <w:r w:rsidRPr="006645D5">
              <w:rPr>
                <w:b/>
                <w:bCs/>
                <w:sz w:val="25"/>
                <w:szCs w:val="25"/>
              </w:rPr>
              <w:t xml:space="preserve">Lĩnh vực biển và hải đảo </w:t>
            </w:r>
            <w:r w:rsidR="006645D5">
              <w:rPr>
                <w:b/>
                <w:bCs/>
                <w:sz w:val="25"/>
                <w:szCs w:val="25"/>
              </w:rPr>
              <w:t>(05 TTHC)</w:t>
            </w:r>
          </w:p>
        </w:tc>
      </w:tr>
      <w:tr w:rsidR="00F9421B" w:rsidRPr="006645D5" w:rsidTr="006645D5">
        <w:trPr>
          <w:trHeight w:val="936"/>
        </w:trPr>
        <w:tc>
          <w:tcPr>
            <w:tcW w:w="568" w:type="dxa"/>
            <w:vAlign w:val="center"/>
          </w:tcPr>
          <w:p w:rsidR="00F9421B" w:rsidRPr="006645D5" w:rsidRDefault="00F9421B" w:rsidP="00F9421B">
            <w:pPr>
              <w:jc w:val="center"/>
              <w:rPr>
                <w:bCs/>
                <w:color w:val="000000" w:themeColor="text1"/>
                <w:sz w:val="25"/>
                <w:szCs w:val="25"/>
              </w:rPr>
            </w:pPr>
            <w:r w:rsidRPr="006645D5">
              <w:rPr>
                <w:bCs/>
                <w:color w:val="000000" w:themeColor="text1"/>
                <w:sz w:val="25"/>
                <w:szCs w:val="25"/>
              </w:rPr>
              <w:t>2</w:t>
            </w:r>
          </w:p>
        </w:tc>
        <w:tc>
          <w:tcPr>
            <w:tcW w:w="709" w:type="dxa"/>
            <w:vAlign w:val="center"/>
          </w:tcPr>
          <w:p w:rsidR="00F9421B" w:rsidRPr="006645D5" w:rsidRDefault="00F9421B" w:rsidP="00F9421B">
            <w:pPr>
              <w:pStyle w:val="Khc0"/>
              <w:spacing w:before="60" w:after="60"/>
              <w:ind w:firstLine="0"/>
              <w:jc w:val="center"/>
              <w:rPr>
                <w:rFonts w:ascii="Times New Roman" w:hAnsi="Times New Roman" w:cs="Times New Roman"/>
                <w:sz w:val="25"/>
                <w:szCs w:val="25"/>
              </w:rPr>
            </w:pPr>
            <w:r w:rsidRPr="006645D5">
              <w:rPr>
                <w:rFonts w:ascii="Times New Roman" w:hAnsi="Times New Roman" w:cs="Times New Roman"/>
                <w:bCs/>
                <w:color w:val="000000" w:themeColor="text1"/>
                <w:sz w:val="25"/>
                <w:szCs w:val="25"/>
              </w:rPr>
              <w:t>1</w:t>
            </w:r>
          </w:p>
        </w:tc>
        <w:tc>
          <w:tcPr>
            <w:tcW w:w="7796" w:type="dxa"/>
            <w:shd w:val="clear" w:color="auto" w:fill="auto"/>
            <w:vAlign w:val="center"/>
          </w:tcPr>
          <w:p w:rsidR="00F9421B" w:rsidRPr="006645D5" w:rsidRDefault="00F9421B" w:rsidP="00F9421B">
            <w:pPr>
              <w:pStyle w:val="Khc0"/>
              <w:spacing w:before="60" w:after="60"/>
              <w:ind w:firstLine="0"/>
              <w:jc w:val="both"/>
              <w:rPr>
                <w:rFonts w:ascii="Times New Roman" w:hAnsi="Times New Roman" w:cs="Times New Roman"/>
                <w:sz w:val="25"/>
                <w:szCs w:val="25"/>
              </w:rPr>
            </w:pPr>
            <w:r w:rsidRPr="006645D5">
              <w:rPr>
                <w:rFonts w:ascii="Times New Roman" w:hAnsi="Times New Roman" w:cs="Times New Roman"/>
                <w:sz w:val="25"/>
                <w:szCs w:val="25"/>
              </w:rPr>
              <w:t>Gia hạn thời hạn giao khu vực biển</w:t>
            </w:r>
          </w:p>
          <w:p w:rsidR="00F9421B" w:rsidRPr="006645D5" w:rsidRDefault="00F9421B" w:rsidP="00F9421B">
            <w:pPr>
              <w:pStyle w:val="Khc0"/>
              <w:spacing w:before="60" w:after="60"/>
              <w:ind w:firstLine="0"/>
              <w:jc w:val="both"/>
              <w:rPr>
                <w:rFonts w:ascii="Times New Roman" w:hAnsi="Times New Roman" w:cs="Times New Roman"/>
                <w:color w:val="000000" w:themeColor="text1"/>
                <w:sz w:val="25"/>
                <w:szCs w:val="25"/>
                <w:lang w:val="vi-VN" w:eastAsia="vi-VN" w:bidi="vi-VN"/>
              </w:rPr>
            </w:pPr>
            <w:r w:rsidRPr="006645D5">
              <w:rPr>
                <w:rFonts w:ascii="Times New Roman" w:hAnsi="Times New Roman" w:cs="Times New Roman"/>
                <w:sz w:val="25"/>
                <w:szCs w:val="25"/>
              </w:rPr>
              <w:t xml:space="preserve"> Mã TTHC: 1.004935</w:t>
            </w:r>
          </w:p>
        </w:tc>
        <w:tc>
          <w:tcPr>
            <w:tcW w:w="6521" w:type="dxa"/>
            <w:shd w:val="clear" w:color="auto" w:fill="auto"/>
            <w:vAlign w:val="center"/>
          </w:tcPr>
          <w:p w:rsidR="00F9421B" w:rsidRPr="006645D5" w:rsidRDefault="00F9421B" w:rsidP="00F9421B">
            <w:pPr>
              <w:jc w:val="both"/>
              <w:rPr>
                <w:color w:val="000000" w:themeColor="text1"/>
                <w:sz w:val="25"/>
                <w:szCs w:val="25"/>
                <w:lang w:val="vi-VN" w:eastAsia="vi-VN" w:bidi="vi-VN"/>
              </w:rPr>
            </w:pPr>
            <w:r w:rsidRPr="006645D5">
              <w:rPr>
                <w:sz w:val="25"/>
                <w:szCs w:val="25"/>
              </w:rPr>
              <w:t>Nghị quyết số 17/2026/NQ-CP</w:t>
            </w:r>
            <w:r w:rsidR="006645D5">
              <w:rPr>
                <w:sz w:val="25"/>
                <w:szCs w:val="25"/>
              </w:rPr>
              <w:t>.</w:t>
            </w:r>
          </w:p>
        </w:tc>
      </w:tr>
      <w:tr w:rsidR="00F9421B" w:rsidRPr="006645D5" w:rsidTr="006645D5">
        <w:trPr>
          <w:trHeight w:val="20"/>
        </w:trPr>
        <w:tc>
          <w:tcPr>
            <w:tcW w:w="568" w:type="dxa"/>
            <w:vAlign w:val="center"/>
          </w:tcPr>
          <w:p w:rsidR="00F9421B" w:rsidRPr="006645D5" w:rsidRDefault="00F9421B" w:rsidP="00F9421B">
            <w:pPr>
              <w:jc w:val="center"/>
              <w:rPr>
                <w:bCs/>
                <w:color w:val="000000" w:themeColor="text1"/>
                <w:sz w:val="25"/>
                <w:szCs w:val="25"/>
              </w:rPr>
            </w:pPr>
            <w:r w:rsidRPr="006645D5">
              <w:rPr>
                <w:bCs/>
                <w:color w:val="000000" w:themeColor="text1"/>
                <w:sz w:val="25"/>
                <w:szCs w:val="25"/>
              </w:rPr>
              <w:t>3</w:t>
            </w:r>
          </w:p>
        </w:tc>
        <w:tc>
          <w:tcPr>
            <w:tcW w:w="709" w:type="dxa"/>
            <w:vAlign w:val="center"/>
          </w:tcPr>
          <w:p w:rsidR="00F9421B" w:rsidRPr="006645D5" w:rsidRDefault="00F9421B" w:rsidP="00F9421B">
            <w:pPr>
              <w:pStyle w:val="Khc0"/>
              <w:spacing w:before="60" w:after="60"/>
              <w:ind w:firstLine="0"/>
              <w:jc w:val="center"/>
              <w:rPr>
                <w:rFonts w:ascii="Times New Roman" w:hAnsi="Times New Roman" w:cs="Times New Roman"/>
                <w:sz w:val="25"/>
                <w:szCs w:val="25"/>
              </w:rPr>
            </w:pPr>
            <w:r w:rsidRPr="006645D5">
              <w:rPr>
                <w:rFonts w:ascii="Times New Roman" w:hAnsi="Times New Roman" w:cs="Times New Roman"/>
                <w:bCs/>
                <w:color w:val="000000" w:themeColor="text1"/>
                <w:sz w:val="25"/>
                <w:szCs w:val="25"/>
              </w:rPr>
              <w:t>2</w:t>
            </w:r>
          </w:p>
        </w:tc>
        <w:tc>
          <w:tcPr>
            <w:tcW w:w="7796" w:type="dxa"/>
            <w:shd w:val="clear" w:color="auto" w:fill="auto"/>
            <w:vAlign w:val="center"/>
          </w:tcPr>
          <w:p w:rsidR="00F9421B" w:rsidRPr="006645D5" w:rsidRDefault="00F9421B" w:rsidP="00F9421B">
            <w:pPr>
              <w:pStyle w:val="Khc0"/>
              <w:spacing w:before="60" w:after="60"/>
              <w:ind w:firstLine="0"/>
              <w:jc w:val="both"/>
              <w:rPr>
                <w:rFonts w:ascii="Times New Roman" w:hAnsi="Times New Roman" w:cs="Times New Roman"/>
                <w:sz w:val="25"/>
                <w:szCs w:val="25"/>
              </w:rPr>
            </w:pPr>
            <w:r w:rsidRPr="006645D5">
              <w:rPr>
                <w:rFonts w:ascii="Times New Roman" w:hAnsi="Times New Roman" w:cs="Times New Roman"/>
                <w:sz w:val="25"/>
                <w:szCs w:val="25"/>
              </w:rPr>
              <w:t>Gia hạn Giấy phép nhận chìm ở biển</w:t>
            </w:r>
          </w:p>
          <w:p w:rsidR="00F9421B" w:rsidRPr="006645D5" w:rsidRDefault="00F9421B" w:rsidP="00F9421B">
            <w:pPr>
              <w:pStyle w:val="Khc0"/>
              <w:spacing w:before="60" w:after="60"/>
              <w:ind w:firstLine="0"/>
              <w:jc w:val="both"/>
              <w:rPr>
                <w:rFonts w:ascii="Times New Roman" w:hAnsi="Times New Roman" w:cs="Times New Roman"/>
                <w:color w:val="000000" w:themeColor="text1"/>
                <w:sz w:val="25"/>
                <w:szCs w:val="25"/>
                <w:lang w:val="vi-VN" w:eastAsia="vi-VN" w:bidi="vi-VN"/>
              </w:rPr>
            </w:pPr>
            <w:r w:rsidRPr="006645D5">
              <w:rPr>
                <w:rFonts w:ascii="Times New Roman" w:hAnsi="Times New Roman" w:cs="Times New Roman"/>
                <w:sz w:val="25"/>
                <w:szCs w:val="25"/>
              </w:rPr>
              <w:t>Mã TTHC: 2.000472</w:t>
            </w:r>
          </w:p>
        </w:tc>
        <w:tc>
          <w:tcPr>
            <w:tcW w:w="6521" w:type="dxa"/>
            <w:shd w:val="clear" w:color="auto" w:fill="auto"/>
            <w:vAlign w:val="center"/>
          </w:tcPr>
          <w:p w:rsidR="00F9421B" w:rsidRPr="006645D5" w:rsidRDefault="00F9421B" w:rsidP="00F9421B">
            <w:pPr>
              <w:jc w:val="both"/>
              <w:rPr>
                <w:color w:val="000000" w:themeColor="text1"/>
                <w:sz w:val="25"/>
                <w:szCs w:val="25"/>
                <w:lang w:val="vi-VN" w:eastAsia="vi-VN" w:bidi="vi-VN"/>
              </w:rPr>
            </w:pPr>
            <w:r w:rsidRPr="006645D5">
              <w:rPr>
                <w:sz w:val="25"/>
                <w:szCs w:val="25"/>
              </w:rPr>
              <w:t>Nghị quyết số 66.19/2026/NQ-CP</w:t>
            </w:r>
            <w:r w:rsidR="006645D5">
              <w:rPr>
                <w:sz w:val="25"/>
                <w:szCs w:val="25"/>
              </w:rPr>
              <w:t>.</w:t>
            </w:r>
          </w:p>
        </w:tc>
      </w:tr>
      <w:tr w:rsidR="00F9421B" w:rsidRPr="006645D5" w:rsidTr="006645D5">
        <w:trPr>
          <w:trHeight w:val="20"/>
        </w:trPr>
        <w:tc>
          <w:tcPr>
            <w:tcW w:w="568" w:type="dxa"/>
            <w:vAlign w:val="center"/>
          </w:tcPr>
          <w:p w:rsidR="00F9421B" w:rsidRPr="006645D5" w:rsidRDefault="00F9421B" w:rsidP="00F9421B">
            <w:pPr>
              <w:jc w:val="center"/>
              <w:rPr>
                <w:bCs/>
                <w:color w:val="000000" w:themeColor="text1"/>
                <w:sz w:val="25"/>
                <w:szCs w:val="25"/>
              </w:rPr>
            </w:pPr>
            <w:r w:rsidRPr="006645D5">
              <w:rPr>
                <w:bCs/>
                <w:color w:val="000000" w:themeColor="text1"/>
                <w:sz w:val="25"/>
                <w:szCs w:val="25"/>
              </w:rPr>
              <w:t>4</w:t>
            </w:r>
          </w:p>
        </w:tc>
        <w:tc>
          <w:tcPr>
            <w:tcW w:w="709" w:type="dxa"/>
            <w:vAlign w:val="center"/>
          </w:tcPr>
          <w:p w:rsidR="00F9421B" w:rsidRPr="006645D5" w:rsidRDefault="00F9421B" w:rsidP="00F9421B">
            <w:pPr>
              <w:pStyle w:val="Khc0"/>
              <w:spacing w:before="60" w:after="60"/>
              <w:ind w:firstLine="0"/>
              <w:jc w:val="center"/>
              <w:rPr>
                <w:rFonts w:ascii="Times New Roman" w:hAnsi="Times New Roman" w:cs="Times New Roman"/>
                <w:sz w:val="25"/>
                <w:szCs w:val="25"/>
              </w:rPr>
            </w:pPr>
            <w:r w:rsidRPr="006645D5">
              <w:rPr>
                <w:rFonts w:ascii="Times New Roman" w:hAnsi="Times New Roman" w:cs="Times New Roman"/>
                <w:bCs/>
                <w:color w:val="000000" w:themeColor="text1"/>
                <w:sz w:val="25"/>
                <w:szCs w:val="25"/>
              </w:rPr>
              <w:t>3</w:t>
            </w:r>
          </w:p>
        </w:tc>
        <w:tc>
          <w:tcPr>
            <w:tcW w:w="7796" w:type="dxa"/>
            <w:shd w:val="clear" w:color="auto" w:fill="auto"/>
            <w:vAlign w:val="center"/>
          </w:tcPr>
          <w:p w:rsidR="00F9421B" w:rsidRPr="006645D5" w:rsidRDefault="00F9421B" w:rsidP="00F9421B">
            <w:pPr>
              <w:pStyle w:val="Khc0"/>
              <w:spacing w:before="60" w:after="60"/>
              <w:ind w:firstLine="0"/>
              <w:jc w:val="both"/>
              <w:rPr>
                <w:rFonts w:ascii="Times New Roman" w:hAnsi="Times New Roman" w:cs="Times New Roman"/>
                <w:sz w:val="25"/>
                <w:szCs w:val="25"/>
              </w:rPr>
            </w:pPr>
            <w:r w:rsidRPr="006645D5">
              <w:rPr>
                <w:rFonts w:ascii="Times New Roman" w:hAnsi="Times New Roman" w:cs="Times New Roman"/>
                <w:sz w:val="25"/>
                <w:szCs w:val="25"/>
              </w:rPr>
              <w:t>Gia hạn quyết định cấp phép nghiên cứu khoa học cấp tỉnh</w:t>
            </w:r>
          </w:p>
          <w:p w:rsidR="00F9421B" w:rsidRPr="006645D5" w:rsidRDefault="00F9421B" w:rsidP="00F9421B">
            <w:pPr>
              <w:pStyle w:val="Khc0"/>
              <w:spacing w:before="60" w:after="60"/>
              <w:ind w:firstLine="0"/>
              <w:jc w:val="both"/>
              <w:rPr>
                <w:rFonts w:ascii="Times New Roman" w:hAnsi="Times New Roman" w:cs="Times New Roman"/>
                <w:color w:val="000000" w:themeColor="text1"/>
                <w:sz w:val="25"/>
                <w:szCs w:val="25"/>
                <w:lang w:val="vi-VN" w:eastAsia="vi-VN" w:bidi="vi-VN"/>
              </w:rPr>
            </w:pPr>
            <w:r w:rsidRPr="006645D5">
              <w:rPr>
                <w:rFonts w:ascii="Times New Roman" w:hAnsi="Times New Roman" w:cs="Times New Roman"/>
                <w:sz w:val="25"/>
                <w:szCs w:val="25"/>
              </w:rPr>
              <w:t xml:space="preserve"> Mã TTHC: 3.000437</w:t>
            </w:r>
          </w:p>
        </w:tc>
        <w:tc>
          <w:tcPr>
            <w:tcW w:w="6521" w:type="dxa"/>
            <w:shd w:val="clear" w:color="auto" w:fill="auto"/>
            <w:vAlign w:val="center"/>
          </w:tcPr>
          <w:p w:rsidR="00F9421B" w:rsidRPr="006645D5" w:rsidRDefault="00F9421B" w:rsidP="00F9421B">
            <w:pPr>
              <w:jc w:val="both"/>
              <w:rPr>
                <w:color w:val="000000" w:themeColor="text1"/>
                <w:sz w:val="25"/>
                <w:szCs w:val="25"/>
                <w:lang w:val="vi-VN" w:eastAsia="vi-VN" w:bidi="vi-VN"/>
              </w:rPr>
            </w:pPr>
            <w:r w:rsidRPr="006645D5">
              <w:rPr>
                <w:sz w:val="25"/>
                <w:szCs w:val="25"/>
              </w:rPr>
              <w:t>Nghị quyết số 66.19/2026/NQ-CP</w:t>
            </w:r>
            <w:r w:rsidR="006645D5">
              <w:rPr>
                <w:sz w:val="25"/>
                <w:szCs w:val="25"/>
              </w:rPr>
              <w:t>.</w:t>
            </w:r>
          </w:p>
        </w:tc>
      </w:tr>
      <w:tr w:rsidR="00F9421B" w:rsidRPr="006645D5" w:rsidTr="006645D5">
        <w:trPr>
          <w:trHeight w:val="20"/>
        </w:trPr>
        <w:tc>
          <w:tcPr>
            <w:tcW w:w="568" w:type="dxa"/>
            <w:vAlign w:val="center"/>
          </w:tcPr>
          <w:p w:rsidR="00F9421B" w:rsidRPr="006645D5" w:rsidRDefault="00F9421B" w:rsidP="00F9421B">
            <w:pPr>
              <w:jc w:val="center"/>
              <w:rPr>
                <w:bCs/>
                <w:color w:val="000000" w:themeColor="text1"/>
                <w:sz w:val="25"/>
                <w:szCs w:val="25"/>
              </w:rPr>
            </w:pPr>
            <w:r w:rsidRPr="006645D5">
              <w:rPr>
                <w:sz w:val="25"/>
                <w:szCs w:val="25"/>
              </w:rPr>
              <w:t>5</w:t>
            </w:r>
          </w:p>
        </w:tc>
        <w:tc>
          <w:tcPr>
            <w:tcW w:w="709" w:type="dxa"/>
            <w:vAlign w:val="center"/>
          </w:tcPr>
          <w:p w:rsidR="00F9421B" w:rsidRPr="006645D5" w:rsidRDefault="00F9421B" w:rsidP="00F9421B">
            <w:pPr>
              <w:pStyle w:val="Khc0"/>
              <w:spacing w:before="60" w:after="60"/>
              <w:ind w:firstLine="0"/>
              <w:jc w:val="center"/>
              <w:rPr>
                <w:rFonts w:ascii="Times New Roman" w:hAnsi="Times New Roman" w:cs="Times New Roman"/>
                <w:sz w:val="25"/>
                <w:szCs w:val="25"/>
              </w:rPr>
            </w:pPr>
            <w:r w:rsidRPr="006645D5">
              <w:rPr>
                <w:rFonts w:ascii="Times New Roman" w:hAnsi="Times New Roman" w:cs="Times New Roman"/>
                <w:bCs/>
                <w:color w:val="000000" w:themeColor="text1"/>
                <w:sz w:val="25"/>
                <w:szCs w:val="25"/>
              </w:rPr>
              <w:t>4</w:t>
            </w:r>
          </w:p>
        </w:tc>
        <w:tc>
          <w:tcPr>
            <w:tcW w:w="7796" w:type="dxa"/>
            <w:shd w:val="clear" w:color="auto" w:fill="auto"/>
            <w:vAlign w:val="center"/>
          </w:tcPr>
          <w:p w:rsidR="00F9421B" w:rsidRPr="006645D5" w:rsidRDefault="00F9421B" w:rsidP="00F9421B">
            <w:pPr>
              <w:pStyle w:val="Khc0"/>
              <w:spacing w:before="60" w:after="60"/>
              <w:ind w:firstLine="0"/>
              <w:jc w:val="both"/>
              <w:rPr>
                <w:rFonts w:ascii="Times New Roman" w:hAnsi="Times New Roman" w:cs="Times New Roman"/>
                <w:sz w:val="25"/>
                <w:szCs w:val="25"/>
              </w:rPr>
            </w:pPr>
            <w:r w:rsidRPr="006645D5">
              <w:rPr>
                <w:rFonts w:ascii="Times New Roman" w:hAnsi="Times New Roman" w:cs="Times New Roman"/>
                <w:sz w:val="25"/>
                <w:szCs w:val="25"/>
              </w:rPr>
              <w:t>Khai thác và sử dụng cơ sở dữ liệu tài nguyên, môi trường biển và hải đảo thông qua phiếu yêu cầu hoặc văn bản yêu cầu (cấp tỉnh)</w:t>
            </w:r>
          </w:p>
          <w:p w:rsidR="00F9421B" w:rsidRPr="006645D5" w:rsidRDefault="00F9421B" w:rsidP="00F9421B">
            <w:pPr>
              <w:pStyle w:val="Khc0"/>
              <w:spacing w:before="60" w:after="60"/>
              <w:ind w:firstLine="0"/>
              <w:jc w:val="both"/>
              <w:rPr>
                <w:rFonts w:ascii="Times New Roman" w:hAnsi="Times New Roman" w:cs="Times New Roman"/>
                <w:color w:val="000000" w:themeColor="text1"/>
                <w:sz w:val="25"/>
                <w:szCs w:val="25"/>
                <w:lang w:val="vi-VN" w:eastAsia="vi-VN" w:bidi="vi-VN"/>
              </w:rPr>
            </w:pPr>
            <w:r w:rsidRPr="006645D5">
              <w:rPr>
                <w:rFonts w:ascii="Times New Roman" w:hAnsi="Times New Roman" w:cs="Times New Roman"/>
                <w:sz w:val="25"/>
                <w:szCs w:val="25"/>
              </w:rPr>
              <w:t xml:space="preserve"> Mã TTHC: 1.000705</w:t>
            </w:r>
          </w:p>
        </w:tc>
        <w:tc>
          <w:tcPr>
            <w:tcW w:w="6521" w:type="dxa"/>
            <w:shd w:val="clear" w:color="auto" w:fill="auto"/>
            <w:vAlign w:val="center"/>
          </w:tcPr>
          <w:p w:rsidR="00F9421B" w:rsidRPr="006645D5" w:rsidRDefault="00F9421B" w:rsidP="00F9421B">
            <w:pPr>
              <w:jc w:val="both"/>
              <w:rPr>
                <w:color w:val="000000" w:themeColor="text1"/>
                <w:sz w:val="25"/>
                <w:szCs w:val="25"/>
                <w:lang w:val="vi-VN" w:eastAsia="vi-VN" w:bidi="vi-VN"/>
              </w:rPr>
            </w:pPr>
            <w:r w:rsidRPr="006645D5">
              <w:rPr>
                <w:sz w:val="25"/>
                <w:szCs w:val="25"/>
              </w:rPr>
              <w:t>Thông tư số 22/2026/TT-BNNMT ngày 19/5/2026</w:t>
            </w:r>
            <w:r w:rsidR="006645D5">
              <w:rPr>
                <w:sz w:val="25"/>
                <w:szCs w:val="25"/>
              </w:rPr>
              <w:t xml:space="preserve"> của Bộ trưởng Bộ Nông nghiệp và Môi trường </w:t>
            </w:r>
            <w:r w:rsidR="006645D5" w:rsidRPr="006645D5">
              <w:rPr>
                <w:sz w:val="25"/>
                <w:szCs w:val="25"/>
              </w:rPr>
              <w:t>sửa đổi, bổ sung một số thông tư liên quan phân cấp, cắt giảm, đơn giản hóa thủ tục hành chính thuộc phạm vi quản lý nhà nước của bộ nông nghiệp và môi trường</w:t>
            </w:r>
            <w:r w:rsidR="006645D5">
              <w:rPr>
                <w:sz w:val="25"/>
                <w:szCs w:val="25"/>
              </w:rPr>
              <w:t>.</w:t>
            </w:r>
          </w:p>
        </w:tc>
      </w:tr>
      <w:tr w:rsidR="00F9421B" w:rsidRPr="006645D5" w:rsidTr="006645D5">
        <w:trPr>
          <w:trHeight w:val="20"/>
        </w:trPr>
        <w:tc>
          <w:tcPr>
            <w:tcW w:w="568" w:type="dxa"/>
            <w:vAlign w:val="center"/>
          </w:tcPr>
          <w:p w:rsidR="00F9421B" w:rsidRPr="006645D5" w:rsidRDefault="00F9421B" w:rsidP="00F9421B">
            <w:pPr>
              <w:jc w:val="center"/>
              <w:rPr>
                <w:sz w:val="25"/>
                <w:szCs w:val="25"/>
              </w:rPr>
            </w:pPr>
            <w:r w:rsidRPr="006645D5">
              <w:rPr>
                <w:sz w:val="25"/>
                <w:szCs w:val="25"/>
              </w:rPr>
              <w:t>6</w:t>
            </w:r>
          </w:p>
        </w:tc>
        <w:tc>
          <w:tcPr>
            <w:tcW w:w="709" w:type="dxa"/>
            <w:vAlign w:val="center"/>
          </w:tcPr>
          <w:p w:rsidR="00F9421B" w:rsidRPr="006645D5" w:rsidRDefault="00F9421B" w:rsidP="00F9421B">
            <w:pPr>
              <w:pStyle w:val="Khc0"/>
              <w:spacing w:before="60" w:after="60"/>
              <w:ind w:firstLine="0"/>
              <w:jc w:val="center"/>
              <w:rPr>
                <w:rFonts w:ascii="Times New Roman" w:hAnsi="Times New Roman" w:cs="Times New Roman"/>
                <w:sz w:val="25"/>
                <w:szCs w:val="25"/>
              </w:rPr>
            </w:pPr>
            <w:r w:rsidRPr="006645D5">
              <w:rPr>
                <w:rFonts w:ascii="Times New Roman" w:hAnsi="Times New Roman" w:cs="Times New Roman"/>
                <w:sz w:val="25"/>
                <w:szCs w:val="25"/>
              </w:rPr>
              <w:t>5</w:t>
            </w:r>
          </w:p>
        </w:tc>
        <w:tc>
          <w:tcPr>
            <w:tcW w:w="7796" w:type="dxa"/>
            <w:shd w:val="clear" w:color="auto" w:fill="auto"/>
            <w:vAlign w:val="center"/>
          </w:tcPr>
          <w:p w:rsidR="00F9421B" w:rsidRPr="006645D5" w:rsidRDefault="00F9421B" w:rsidP="00F9421B">
            <w:pPr>
              <w:pStyle w:val="Khc0"/>
              <w:spacing w:before="60" w:after="60"/>
              <w:ind w:firstLine="0"/>
              <w:jc w:val="both"/>
              <w:rPr>
                <w:rFonts w:ascii="Times New Roman" w:hAnsi="Times New Roman" w:cs="Times New Roman"/>
                <w:sz w:val="25"/>
                <w:szCs w:val="25"/>
              </w:rPr>
            </w:pPr>
            <w:r w:rsidRPr="006645D5">
              <w:rPr>
                <w:rFonts w:ascii="Times New Roman" w:hAnsi="Times New Roman" w:cs="Times New Roman"/>
                <w:sz w:val="25"/>
                <w:szCs w:val="25"/>
              </w:rPr>
              <w:t>Khai thác và sử dụng cơ sở dữ liệu tài nguyên, môi trường biển và hải đảo thông qua mạng điện tử (cấp tỉnh).</w:t>
            </w:r>
          </w:p>
          <w:p w:rsidR="00F9421B" w:rsidRPr="006645D5" w:rsidRDefault="00F9421B" w:rsidP="00F9421B">
            <w:pPr>
              <w:pStyle w:val="Khc0"/>
              <w:spacing w:before="60" w:after="60"/>
              <w:ind w:firstLine="0"/>
              <w:jc w:val="both"/>
              <w:rPr>
                <w:rFonts w:ascii="Times New Roman" w:hAnsi="Times New Roman" w:cs="Times New Roman"/>
                <w:sz w:val="25"/>
                <w:szCs w:val="25"/>
              </w:rPr>
            </w:pPr>
            <w:r w:rsidRPr="006645D5">
              <w:rPr>
                <w:rFonts w:ascii="Times New Roman" w:hAnsi="Times New Roman" w:cs="Times New Roman"/>
                <w:sz w:val="25"/>
                <w:szCs w:val="25"/>
              </w:rPr>
              <w:t>Mã TTHC: 1.005181</w:t>
            </w:r>
          </w:p>
        </w:tc>
        <w:tc>
          <w:tcPr>
            <w:tcW w:w="6521" w:type="dxa"/>
            <w:shd w:val="clear" w:color="auto" w:fill="auto"/>
            <w:vAlign w:val="center"/>
          </w:tcPr>
          <w:p w:rsidR="00F9421B" w:rsidRPr="006645D5" w:rsidRDefault="00F9421B" w:rsidP="00F9421B">
            <w:pPr>
              <w:jc w:val="both"/>
              <w:rPr>
                <w:sz w:val="25"/>
                <w:szCs w:val="25"/>
              </w:rPr>
            </w:pPr>
            <w:r w:rsidRPr="006645D5">
              <w:rPr>
                <w:sz w:val="25"/>
                <w:szCs w:val="25"/>
              </w:rPr>
              <w:t>Thông tư số 22/2026/TT-BNNMT</w:t>
            </w:r>
            <w:r w:rsidR="006645D5">
              <w:rPr>
                <w:sz w:val="25"/>
                <w:szCs w:val="25"/>
              </w:rPr>
              <w:t>.</w:t>
            </w:r>
          </w:p>
        </w:tc>
      </w:tr>
      <w:tr w:rsidR="00F9421B" w:rsidRPr="006645D5" w:rsidTr="006645D5">
        <w:trPr>
          <w:trHeight w:val="20"/>
        </w:trPr>
        <w:tc>
          <w:tcPr>
            <w:tcW w:w="568" w:type="dxa"/>
            <w:vAlign w:val="center"/>
          </w:tcPr>
          <w:p w:rsidR="00F9421B" w:rsidRPr="006645D5" w:rsidRDefault="00F9421B" w:rsidP="00F9421B">
            <w:pPr>
              <w:jc w:val="center"/>
              <w:rPr>
                <w:b/>
                <w:color w:val="000000" w:themeColor="text1"/>
                <w:sz w:val="25"/>
                <w:szCs w:val="25"/>
              </w:rPr>
            </w:pPr>
            <w:r w:rsidRPr="006645D5">
              <w:rPr>
                <w:b/>
                <w:color w:val="000000" w:themeColor="text1"/>
                <w:sz w:val="25"/>
                <w:szCs w:val="25"/>
              </w:rPr>
              <w:t>II</w:t>
            </w:r>
          </w:p>
        </w:tc>
        <w:tc>
          <w:tcPr>
            <w:tcW w:w="15026" w:type="dxa"/>
            <w:gridSpan w:val="3"/>
            <w:vAlign w:val="center"/>
          </w:tcPr>
          <w:p w:rsidR="00F9421B" w:rsidRPr="006645D5" w:rsidRDefault="00F9421B" w:rsidP="00F9421B">
            <w:pPr>
              <w:spacing w:before="120" w:after="120"/>
              <w:jc w:val="both"/>
              <w:rPr>
                <w:color w:val="000000" w:themeColor="text1"/>
                <w:sz w:val="25"/>
                <w:szCs w:val="25"/>
                <w:lang w:val="vi-VN" w:eastAsia="vi-VN" w:bidi="vi-VN"/>
              </w:rPr>
            </w:pPr>
            <w:r w:rsidRPr="006645D5">
              <w:rPr>
                <w:b/>
                <w:bCs/>
                <w:iCs/>
                <w:sz w:val="25"/>
                <w:szCs w:val="25"/>
              </w:rPr>
              <w:t>THỦ TỤC HÀNH CHÍNH CẤP XÃ (01 TTHC)</w:t>
            </w:r>
          </w:p>
        </w:tc>
      </w:tr>
      <w:tr w:rsidR="00F9421B" w:rsidRPr="006645D5" w:rsidTr="006645D5">
        <w:trPr>
          <w:trHeight w:val="561"/>
        </w:trPr>
        <w:tc>
          <w:tcPr>
            <w:tcW w:w="9073" w:type="dxa"/>
            <w:gridSpan w:val="3"/>
            <w:vAlign w:val="center"/>
          </w:tcPr>
          <w:p w:rsidR="00F9421B" w:rsidRPr="006645D5" w:rsidRDefault="00F9421B" w:rsidP="00F9421B">
            <w:pPr>
              <w:pStyle w:val="Khc0"/>
              <w:spacing w:before="60" w:after="60"/>
              <w:ind w:firstLine="0"/>
              <w:jc w:val="both"/>
              <w:rPr>
                <w:rFonts w:ascii="Times New Roman" w:hAnsi="Times New Roman" w:cs="Times New Roman"/>
                <w:b/>
                <w:bCs/>
                <w:sz w:val="25"/>
                <w:szCs w:val="25"/>
              </w:rPr>
            </w:pPr>
            <w:r w:rsidRPr="006645D5">
              <w:rPr>
                <w:rFonts w:ascii="Times New Roman" w:hAnsi="Times New Roman" w:cs="Times New Roman"/>
                <w:b/>
                <w:bCs/>
                <w:sz w:val="25"/>
                <w:szCs w:val="25"/>
              </w:rPr>
              <w:t>Lĩnh vực biển và hải đảo</w:t>
            </w:r>
          </w:p>
        </w:tc>
        <w:tc>
          <w:tcPr>
            <w:tcW w:w="6521" w:type="dxa"/>
            <w:shd w:val="clear" w:color="auto" w:fill="auto"/>
            <w:vAlign w:val="center"/>
          </w:tcPr>
          <w:p w:rsidR="00F9421B" w:rsidRPr="006645D5" w:rsidRDefault="00F9421B" w:rsidP="00F9421B">
            <w:pPr>
              <w:pStyle w:val="Khc0"/>
              <w:spacing w:before="60" w:after="60"/>
              <w:ind w:firstLine="0"/>
              <w:jc w:val="both"/>
              <w:rPr>
                <w:rFonts w:ascii="Times New Roman" w:hAnsi="Times New Roman" w:cs="Times New Roman"/>
                <w:sz w:val="25"/>
                <w:szCs w:val="25"/>
              </w:rPr>
            </w:pPr>
          </w:p>
        </w:tc>
      </w:tr>
      <w:tr w:rsidR="00F9421B" w:rsidRPr="006645D5" w:rsidTr="006645D5">
        <w:trPr>
          <w:trHeight w:val="20"/>
        </w:trPr>
        <w:tc>
          <w:tcPr>
            <w:tcW w:w="568" w:type="dxa"/>
            <w:vAlign w:val="center"/>
          </w:tcPr>
          <w:p w:rsidR="00F9421B" w:rsidRPr="006645D5" w:rsidRDefault="00F9421B" w:rsidP="00F9421B">
            <w:pPr>
              <w:pStyle w:val="Khc0"/>
              <w:spacing w:before="60" w:after="60"/>
              <w:ind w:firstLine="0"/>
              <w:jc w:val="center"/>
              <w:rPr>
                <w:rFonts w:ascii="Times New Roman" w:hAnsi="Times New Roman" w:cs="Times New Roman"/>
                <w:sz w:val="25"/>
                <w:szCs w:val="25"/>
              </w:rPr>
            </w:pPr>
            <w:r w:rsidRPr="006645D5">
              <w:rPr>
                <w:rFonts w:ascii="Times New Roman" w:hAnsi="Times New Roman" w:cs="Times New Roman"/>
                <w:sz w:val="25"/>
                <w:szCs w:val="25"/>
              </w:rPr>
              <w:t>1</w:t>
            </w:r>
          </w:p>
        </w:tc>
        <w:tc>
          <w:tcPr>
            <w:tcW w:w="709" w:type="dxa"/>
            <w:vAlign w:val="center"/>
          </w:tcPr>
          <w:p w:rsidR="00F9421B" w:rsidRPr="006645D5" w:rsidRDefault="00F9421B" w:rsidP="00F9421B">
            <w:pPr>
              <w:pStyle w:val="Khc0"/>
              <w:spacing w:before="60" w:after="60"/>
              <w:ind w:firstLine="0"/>
              <w:jc w:val="center"/>
              <w:rPr>
                <w:rFonts w:ascii="Times New Roman" w:hAnsi="Times New Roman" w:cs="Times New Roman"/>
                <w:sz w:val="25"/>
                <w:szCs w:val="25"/>
              </w:rPr>
            </w:pPr>
            <w:r w:rsidRPr="006645D5">
              <w:rPr>
                <w:rFonts w:ascii="Times New Roman" w:hAnsi="Times New Roman" w:cs="Times New Roman"/>
                <w:sz w:val="25"/>
                <w:szCs w:val="25"/>
              </w:rPr>
              <w:t>1</w:t>
            </w:r>
          </w:p>
        </w:tc>
        <w:tc>
          <w:tcPr>
            <w:tcW w:w="7796" w:type="dxa"/>
            <w:shd w:val="clear" w:color="auto" w:fill="auto"/>
            <w:vAlign w:val="center"/>
          </w:tcPr>
          <w:p w:rsidR="00F9421B" w:rsidRPr="006645D5" w:rsidRDefault="00F9421B" w:rsidP="00F9421B">
            <w:pPr>
              <w:pStyle w:val="Khc0"/>
              <w:spacing w:before="60" w:after="60"/>
              <w:ind w:firstLine="0"/>
              <w:jc w:val="both"/>
              <w:rPr>
                <w:rFonts w:ascii="Times New Roman" w:hAnsi="Times New Roman" w:cs="Times New Roman"/>
                <w:sz w:val="25"/>
                <w:szCs w:val="25"/>
              </w:rPr>
            </w:pPr>
            <w:r w:rsidRPr="006645D5">
              <w:rPr>
                <w:rFonts w:ascii="Times New Roman" w:hAnsi="Times New Roman" w:cs="Times New Roman"/>
                <w:sz w:val="25"/>
                <w:szCs w:val="25"/>
              </w:rPr>
              <w:t xml:space="preserve">Gia hạn thời hạn giao khu vực biển cho cá nhân Việt Nam để nuôi trồng thủy sản. </w:t>
            </w:r>
          </w:p>
          <w:p w:rsidR="00F9421B" w:rsidRPr="006645D5" w:rsidRDefault="00F9421B" w:rsidP="00F9421B">
            <w:pPr>
              <w:pStyle w:val="Khc0"/>
              <w:spacing w:before="60" w:after="60"/>
              <w:ind w:firstLine="0"/>
              <w:jc w:val="both"/>
              <w:rPr>
                <w:rFonts w:ascii="Times New Roman" w:hAnsi="Times New Roman" w:cs="Times New Roman"/>
                <w:sz w:val="25"/>
                <w:szCs w:val="25"/>
              </w:rPr>
            </w:pPr>
            <w:r w:rsidRPr="006645D5">
              <w:rPr>
                <w:rFonts w:ascii="Times New Roman" w:hAnsi="Times New Roman" w:cs="Times New Roman"/>
                <w:sz w:val="25"/>
                <w:szCs w:val="25"/>
              </w:rPr>
              <w:t>Mã TTHC: 3.000440</w:t>
            </w:r>
          </w:p>
        </w:tc>
        <w:tc>
          <w:tcPr>
            <w:tcW w:w="6521" w:type="dxa"/>
            <w:shd w:val="clear" w:color="auto" w:fill="auto"/>
            <w:vAlign w:val="center"/>
          </w:tcPr>
          <w:p w:rsidR="00F9421B" w:rsidRPr="006645D5" w:rsidRDefault="00F9421B" w:rsidP="00F9421B">
            <w:pPr>
              <w:pStyle w:val="Khc0"/>
              <w:spacing w:before="60" w:after="60"/>
              <w:ind w:firstLine="0"/>
              <w:jc w:val="both"/>
              <w:rPr>
                <w:rFonts w:ascii="Times New Roman" w:hAnsi="Times New Roman" w:cs="Times New Roman"/>
                <w:sz w:val="25"/>
                <w:szCs w:val="25"/>
              </w:rPr>
            </w:pPr>
            <w:r w:rsidRPr="006645D5">
              <w:rPr>
                <w:rFonts w:ascii="Times New Roman" w:hAnsi="Times New Roman" w:cs="Times New Roman"/>
                <w:sz w:val="25"/>
                <w:szCs w:val="25"/>
              </w:rPr>
              <w:t>Nghị quyết số 17/2026/NQ-CP</w:t>
            </w:r>
            <w:r w:rsidR="006645D5">
              <w:rPr>
                <w:rFonts w:ascii="Times New Roman" w:hAnsi="Times New Roman" w:cs="Times New Roman"/>
                <w:sz w:val="25"/>
                <w:szCs w:val="25"/>
              </w:rPr>
              <w:t>.</w:t>
            </w:r>
          </w:p>
        </w:tc>
      </w:tr>
    </w:tbl>
    <w:p w:rsidR="00B71D0A" w:rsidRPr="00043C0F" w:rsidRDefault="00145EBE" w:rsidP="006645D5">
      <w:pPr>
        <w:spacing w:before="40" w:after="40"/>
        <w:jc w:val="center"/>
        <w:rPr>
          <w:b/>
          <w:bCs/>
          <w:sz w:val="26"/>
          <w:szCs w:val="26"/>
        </w:rPr>
      </w:pPr>
      <w:r>
        <w:rPr>
          <w:b/>
          <w:bCs/>
          <w:noProof/>
          <w:sz w:val="26"/>
          <w:szCs w:val="26"/>
        </w:rPr>
        <w:pict>
          <v:line id="Straight Connector 2" o:spid="_x0000_s1027" style="position:absolute;left:0;text-align:left;z-index:251661312;visibility:visible;mso-position-horizontal-relative:text;mso-position-vertical-relative:text" from="244.75pt,23.25pt" to="517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" strokecolor="#4472c4 [3204]" strokeweight=".5pt">
            <v:stroke joinstyle="miter"/>
          </v:line>
        </w:pict>
      </w:r>
    </w:p>
    <w:sectPr w:rsidR="00B71D0A" w:rsidRPr="00043C0F" w:rsidSect="006F7DBA">
      <w:headerReference w:type="even" r:id="rId7"/>
      <w:headerReference w:type="default" r:id="rId8"/>
      <w:footerReference w:type="even" r:id="rId9"/>
      <w:footerReference w:type="default" r:id="rId10"/>
      <w:headerReference w:type="first" r:id="rId11"/>
      <w:footerReference w:type="first" r:id="rId12"/>
      <w:pgSz w:w="16840" w:h="11907" w:orient="landscape" w:code="9"/>
      <w:pgMar w:top="1134" w:right="1021" w:bottom="567" w:left="1134" w:header="454" w:footer="34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2CE8" w:rsidRDefault="009C2CE8">
      <w:r>
        <w:separator/>
      </w:r>
    </w:p>
  </w:endnote>
  <w:endnote w:type="continuationSeparator" w:id="1">
    <w:p w:rsidR="009C2CE8" w:rsidRDefault="009C2C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H">
    <w:altName w:val="Times New Roman"/>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602" w:rsidRDefault="002826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602" w:rsidRDefault="00282602">
    <w:pPr>
      <w:pStyle w:val="Footer"/>
      <w:jc w:val="right"/>
    </w:pPr>
  </w:p>
  <w:p w:rsidR="00282602" w:rsidRDefault="0028260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602" w:rsidRDefault="002826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2CE8" w:rsidRDefault="009C2CE8">
      <w:r>
        <w:separator/>
      </w:r>
    </w:p>
  </w:footnote>
  <w:footnote w:type="continuationSeparator" w:id="1">
    <w:p w:rsidR="009C2CE8" w:rsidRDefault="009C2C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602" w:rsidRDefault="002826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602" w:rsidRDefault="00145EBE">
    <w:pPr>
      <w:pStyle w:val="Header"/>
      <w:jc w:val="center"/>
    </w:pPr>
    <w:r>
      <w:fldChar w:fldCharType="begin"/>
    </w:r>
    <w:r w:rsidR="00282602">
      <w:instrText xml:space="preserve"> PAGE   \* MERGEFORMAT </w:instrText>
    </w:r>
    <w:r>
      <w:fldChar w:fldCharType="separate"/>
    </w:r>
    <w:r w:rsidR="00C61378">
      <w:rPr>
        <w:noProof/>
      </w:rPr>
      <w:t>2</w:t>
    </w:r>
    <w:r>
      <w:rPr>
        <w:noProof/>
      </w:rPr>
      <w:fldChar w:fldCharType="end"/>
    </w:r>
  </w:p>
  <w:p w:rsidR="00282602" w:rsidRDefault="002826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602" w:rsidRDefault="002826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30D3"/>
    <w:multiLevelType w:val="hybridMultilevel"/>
    <w:tmpl w:val="EB083A9E"/>
    <w:lvl w:ilvl="0" w:tplc="72F0CAF0">
      <w:start w:val="9"/>
      <w:numFmt w:val="upperLetter"/>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
    <w:nsid w:val="035E4F7F"/>
    <w:multiLevelType w:val="hybridMultilevel"/>
    <w:tmpl w:val="A2B0A910"/>
    <w:lvl w:ilvl="0" w:tplc="0B4479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47C364A"/>
    <w:multiLevelType w:val="hybridMultilevel"/>
    <w:tmpl w:val="B4D4A586"/>
    <w:lvl w:ilvl="0" w:tplc="C81EA906">
      <w:start w:val="2"/>
      <w:numFmt w:val="decimal"/>
      <w:lvlText w:val="%1."/>
      <w:lvlJc w:val="left"/>
      <w:pPr>
        <w:ind w:left="1440" w:hanging="360"/>
      </w:pPr>
      <w:rPr>
        <w:rFonts w:eastAsia="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52E5892"/>
    <w:multiLevelType w:val="hybridMultilevel"/>
    <w:tmpl w:val="033C7E92"/>
    <w:lvl w:ilvl="0" w:tplc="15C20EB2">
      <w:start w:val="1"/>
      <w:numFmt w:val="upperLetter"/>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4">
    <w:nsid w:val="06DC5927"/>
    <w:multiLevelType w:val="hybridMultilevel"/>
    <w:tmpl w:val="758E245C"/>
    <w:lvl w:ilvl="0" w:tplc="9A02B8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7057756"/>
    <w:multiLevelType w:val="hybridMultilevel"/>
    <w:tmpl w:val="56161E00"/>
    <w:lvl w:ilvl="0" w:tplc="06C077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001A03"/>
    <w:multiLevelType w:val="hybridMultilevel"/>
    <w:tmpl w:val="76424D78"/>
    <w:lvl w:ilvl="0" w:tplc="3EC46B50">
      <w:start w:val="1"/>
      <w:numFmt w:val="upperLetter"/>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7">
    <w:nsid w:val="0A813898"/>
    <w:multiLevelType w:val="hybridMultilevel"/>
    <w:tmpl w:val="5ACCC062"/>
    <w:lvl w:ilvl="0" w:tplc="CA746D1C">
      <w:start w:val="2"/>
      <w:numFmt w:val="lowerLetter"/>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F450B99"/>
    <w:multiLevelType w:val="multilevel"/>
    <w:tmpl w:val="81F8923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9">
    <w:nsid w:val="126E317B"/>
    <w:multiLevelType w:val="hybridMultilevel"/>
    <w:tmpl w:val="9F982262"/>
    <w:lvl w:ilvl="0" w:tplc="09AE9D80">
      <w:numFmt w:val="bullet"/>
      <w:lvlText w:val="-"/>
      <w:lvlJc w:val="left"/>
      <w:pPr>
        <w:ind w:left="720" w:hanging="360"/>
      </w:pPr>
      <w:rPr>
        <w:rFonts w:ascii="Times New Roman" w:eastAsia="Times New Roman" w:hAnsi="Times New Roman" w:cs="Times New Roman"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122688"/>
    <w:multiLevelType w:val="hybridMultilevel"/>
    <w:tmpl w:val="89608B00"/>
    <w:lvl w:ilvl="0" w:tplc="ECCC029C">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18B92ADC"/>
    <w:multiLevelType w:val="hybridMultilevel"/>
    <w:tmpl w:val="0F1E2DA4"/>
    <w:lvl w:ilvl="0" w:tplc="E8EE8F5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1A456F50"/>
    <w:multiLevelType w:val="hybridMultilevel"/>
    <w:tmpl w:val="61D80AD8"/>
    <w:lvl w:ilvl="0" w:tplc="363627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325F15"/>
    <w:multiLevelType w:val="hybridMultilevel"/>
    <w:tmpl w:val="BA0E2384"/>
    <w:lvl w:ilvl="0" w:tplc="C54813B8">
      <w:start w:val="2"/>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C650FE4"/>
    <w:multiLevelType w:val="multilevel"/>
    <w:tmpl w:val="93F225F2"/>
    <w:lvl w:ilvl="0">
      <w:start w:val="7"/>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E375A07"/>
    <w:multiLevelType w:val="hybridMultilevel"/>
    <w:tmpl w:val="8BAA824A"/>
    <w:lvl w:ilvl="0" w:tplc="256CF8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011A39"/>
    <w:multiLevelType w:val="hybridMultilevel"/>
    <w:tmpl w:val="94F4F40A"/>
    <w:lvl w:ilvl="0" w:tplc="ECCC029C">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20F46BCA"/>
    <w:multiLevelType w:val="hybridMultilevel"/>
    <w:tmpl w:val="E2461D96"/>
    <w:lvl w:ilvl="0" w:tplc="4BF2FBBC">
      <w:start w:val="1"/>
      <w:numFmt w:val="upperRoman"/>
      <w:lvlText w:val="%1."/>
      <w:lvlJc w:val="left"/>
      <w:pPr>
        <w:ind w:left="1344" w:hanging="72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8">
    <w:nsid w:val="22501F4A"/>
    <w:multiLevelType w:val="hybridMultilevel"/>
    <w:tmpl w:val="97FC1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2645F7"/>
    <w:multiLevelType w:val="hybridMultilevel"/>
    <w:tmpl w:val="17986840"/>
    <w:lvl w:ilvl="0" w:tplc="33349C0C">
      <w:start w:val="1"/>
      <w:numFmt w:val="upp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0">
    <w:nsid w:val="29B13860"/>
    <w:multiLevelType w:val="hybridMultilevel"/>
    <w:tmpl w:val="09EA9BF0"/>
    <w:lvl w:ilvl="0" w:tplc="48AEA67A">
      <w:start w:val="1"/>
      <w:numFmt w:val="upp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1">
    <w:nsid w:val="2AF36174"/>
    <w:multiLevelType w:val="hybridMultilevel"/>
    <w:tmpl w:val="4120B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E011629"/>
    <w:multiLevelType w:val="hybridMultilevel"/>
    <w:tmpl w:val="89608B00"/>
    <w:lvl w:ilvl="0" w:tplc="ECCC029C">
      <w:start w:val="1"/>
      <w:numFmt w:val="upp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3">
    <w:nsid w:val="2F06365A"/>
    <w:multiLevelType w:val="hybridMultilevel"/>
    <w:tmpl w:val="063214EA"/>
    <w:lvl w:ilvl="0" w:tplc="56DA524E">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F6A2F73"/>
    <w:multiLevelType w:val="hybridMultilevel"/>
    <w:tmpl w:val="5CD26392"/>
    <w:lvl w:ilvl="0" w:tplc="3976EB10">
      <w:start w:val="1"/>
      <w:numFmt w:val="upperLetter"/>
      <w:lvlText w:val="%1&gt;"/>
      <w:lvlJc w:val="left"/>
      <w:pPr>
        <w:ind w:left="930" w:hanging="375"/>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5">
    <w:nsid w:val="318F7AB9"/>
    <w:multiLevelType w:val="hybridMultilevel"/>
    <w:tmpl w:val="12D4CF4C"/>
    <w:lvl w:ilvl="0" w:tplc="F62A33A0">
      <w:numFmt w:val="bullet"/>
      <w:lvlText w:val="-"/>
      <w:lvlJc w:val="left"/>
      <w:pPr>
        <w:ind w:left="420" w:hanging="360"/>
      </w:pPr>
      <w:rPr>
        <w:rFonts w:ascii="Times New Roman" w:eastAsia="Times New Roman" w:hAnsi="Times New Roman" w:cs="Times New Roman" w:hint="default"/>
        <w:b w:val="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6">
    <w:nsid w:val="31D90567"/>
    <w:multiLevelType w:val="hybridMultilevel"/>
    <w:tmpl w:val="0EDC4DBA"/>
    <w:lvl w:ilvl="0" w:tplc="F83EEC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331324AE"/>
    <w:multiLevelType w:val="hybridMultilevel"/>
    <w:tmpl w:val="DA9651F6"/>
    <w:lvl w:ilvl="0" w:tplc="1A6A9858">
      <w:start w:val="1"/>
      <w:numFmt w:val="decimal"/>
      <w:suff w:val="nothing"/>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94B42BB"/>
    <w:multiLevelType w:val="hybridMultilevel"/>
    <w:tmpl w:val="7D408C38"/>
    <w:lvl w:ilvl="0" w:tplc="6CAA1484">
      <w:start w:val="1"/>
      <w:numFmt w:val="bullet"/>
      <w:lvlText w:val="-"/>
      <w:lvlJc w:val="left"/>
      <w:pPr>
        <w:ind w:left="1429" w:hanging="360"/>
      </w:pPr>
      <w:rPr>
        <w:rFonts w:ascii="Times New Roman" w:eastAsia="Calibr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nsid w:val="3D5A6790"/>
    <w:multiLevelType w:val="hybridMultilevel"/>
    <w:tmpl w:val="F12838B8"/>
    <w:lvl w:ilvl="0" w:tplc="B0321A80">
      <w:start w:val="3"/>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1BD324F"/>
    <w:multiLevelType w:val="hybridMultilevel"/>
    <w:tmpl w:val="8EF6DB26"/>
    <w:lvl w:ilvl="0" w:tplc="E3FCE534">
      <w:start w:val="9"/>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45313389"/>
    <w:multiLevelType w:val="hybridMultilevel"/>
    <w:tmpl w:val="4548629C"/>
    <w:lvl w:ilvl="0" w:tplc="B43CF8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7DF77BE"/>
    <w:multiLevelType w:val="hybridMultilevel"/>
    <w:tmpl w:val="BC080F5A"/>
    <w:lvl w:ilvl="0" w:tplc="B6BE2196">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33">
    <w:nsid w:val="4A2B10FA"/>
    <w:multiLevelType w:val="hybridMultilevel"/>
    <w:tmpl w:val="43A812B2"/>
    <w:lvl w:ilvl="0" w:tplc="5A60A464">
      <w:start w:val="1"/>
      <w:numFmt w:val="upp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4">
    <w:nsid w:val="534B3223"/>
    <w:multiLevelType w:val="hybridMultilevel"/>
    <w:tmpl w:val="BC080F5A"/>
    <w:lvl w:ilvl="0" w:tplc="B6BE2196">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35">
    <w:nsid w:val="59C35714"/>
    <w:multiLevelType w:val="hybridMultilevel"/>
    <w:tmpl w:val="8EB2ECB6"/>
    <w:lvl w:ilvl="0" w:tplc="E6EA5FB2">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6">
    <w:nsid w:val="5A17605E"/>
    <w:multiLevelType w:val="hybridMultilevel"/>
    <w:tmpl w:val="08B6A1BA"/>
    <w:lvl w:ilvl="0" w:tplc="6E70181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5D583EDB"/>
    <w:multiLevelType w:val="hybridMultilevel"/>
    <w:tmpl w:val="CB8E8AB8"/>
    <w:lvl w:ilvl="0" w:tplc="88C0B6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12A58F9"/>
    <w:multiLevelType w:val="hybridMultilevel"/>
    <w:tmpl w:val="EA2AF9C4"/>
    <w:lvl w:ilvl="0" w:tplc="78A027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1AD72AA"/>
    <w:multiLevelType w:val="hybridMultilevel"/>
    <w:tmpl w:val="481A776A"/>
    <w:lvl w:ilvl="0" w:tplc="6CAA1484">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66F17B4E"/>
    <w:multiLevelType w:val="hybridMultilevel"/>
    <w:tmpl w:val="47EE08D8"/>
    <w:lvl w:ilvl="0" w:tplc="ECCC029C">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nsid w:val="670A3624"/>
    <w:multiLevelType w:val="multilevel"/>
    <w:tmpl w:val="68343492"/>
    <w:lvl w:ilvl="0">
      <w:start w:val="1"/>
      <w:numFmt w:val="decimal"/>
      <w:lvlText w:val="%1"/>
      <w:lvlJc w:val="left"/>
      <w:pPr>
        <w:ind w:left="420" w:hanging="420"/>
      </w:pPr>
      <w:rPr>
        <w:rFonts w:eastAsia="Calibri" w:hint="default"/>
      </w:rPr>
    </w:lvl>
    <w:lvl w:ilvl="1">
      <w:start w:val="12"/>
      <w:numFmt w:val="decimal"/>
      <w:lvlText w:val="%1.%2"/>
      <w:lvlJc w:val="left"/>
      <w:pPr>
        <w:ind w:left="1500" w:hanging="420"/>
      </w:pPr>
      <w:rPr>
        <w:rFonts w:eastAsia="Calibri" w:hint="default"/>
      </w:rPr>
    </w:lvl>
    <w:lvl w:ilvl="2">
      <w:start w:val="1"/>
      <w:numFmt w:val="decimal"/>
      <w:lvlText w:val="%1.%2.%3"/>
      <w:lvlJc w:val="left"/>
      <w:pPr>
        <w:ind w:left="2880" w:hanging="720"/>
      </w:pPr>
      <w:rPr>
        <w:rFonts w:eastAsia="Calibri" w:hint="default"/>
      </w:rPr>
    </w:lvl>
    <w:lvl w:ilvl="3">
      <w:start w:val="1"/>
      <w:numFmt w:val="decimal"/>
      <w:lvlText w:val="%1.%2.%3.%4"/>
      <w:lvlJc w:val="left"/>
      <w:pPr>
        <w:ind w:left="3960" w:hanging="720"/>
      </w:pPr>
      <w:rPr>
        <w:rFonts w:eastAsia="Calibri" w:hint="default"/>
      </w:rPr>
    </w:lvl>
    <w:lvl w:ilvl="4">
      <w:start w:val="1"/>
      <w:numFmt w:val="decimal"/>
      <w:lvlText w:val="%1.%2.%3.%4.%5"/>
      <w:lvlJc w:val="left"/>
      <w:pPr>
        <w:ind w:left="5400" w:hanging="1080"/>
      </w:pPr>
      <w:rPr>
        <w:rFonts w:eastAsia="Calibri" w:hint="default"/>
      </w:rPr>
    </w:lvl>
    <w:lvl w:ilvl="5">
      <w:start w:val="1"/>
      <w:numFmt w:val="decimal"/>
      <w:lvlText w:val="%1.%2.%3.%4.%5.%6"/>
      <w:lvlJc w:val="left"/>
      <w:pPr>
        <w:ind w:left="6480" w:hanging="1080"/>
      </w:pPr>
      <w:rPr>
        <w:rFonts w:eastAsia="Calibri" w:hint="default"/>
      </w:rPr>
    </w:lvl>
    <w:lvl w:ilvl="6">
      <w:start w:val="1"/>
      <w:numFmt w:val="decimal"/>
      <w:lvlText w:val="%1.%2.%3.%4.%5.%6.%7"/>
      <w:lvlJc w:val="left"/>
      <w:pPr>
        <w:ind w:left="7920" w:hanging="1440"/>
      </w:pPr>
      <w:rPr>
        <w:rFonts w:eastAsia="Calibri" w:hint="default"/>
      </w:rPr>
    </w:lvl>
    <w:lvl w:ilvl="7">
      <w:start w:val="1"/>
      <w:numFmt w:val="decimal"/>
      <w:lvlText w:val="%1.%2.%3.%4.%5.%6.%7.%8"/>
      <w:lvlJc w:val="left"/>
      <w:pPr>
        <w:ind w:left="9000" w:hanging="1440"/>
      </w:pPr>
      <w:rPr>
        <w:rFonts w:eastAsia="Calibri" w:hint="default"/>
      </w:rPr>
    </w:lvl>
    <w:lvl w:ilvl="8">
      <w:start w:val="1"/>
      <w:numFmt w:val="decimal"/>
      <w:lvlText w:val="%1.%2.%3.%4.%5.%6.%7.%8.%9"/>
      <w:lvlJc w:val="left"/>
      <w:pPr>
        <w:ind w:left="10440" w:hanging="1800"/>
      </w:pPr>
      <w:rPr>
        <w:rFonts w:eastAsia="Calibri" w:hint="default"/>
      </w:rPr>
    </w:lvl>
  </w:abstractNum>
  <w:abstractNum w:abstractNumId="42">
    <w:nsid w:val="6C9F4E45"/>
    <w:multiLevelType w:val="hybridMultilevel"/>
    <w:tmpl w:val="70E2EF38"/>
    <w:lvl w:ilvl="0" w:tplc="ECCC029C">
      <w:start w:val="9"/>
      <w:numFmt w:val="upperLetter"/>
      <w:lvlText w:val="%1."/>
      <w:lvlJc w:val="left"/>
      <w:pPr>
        <w:ind w:left="12693"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nsid w:val="70941C4D"/>
    <w:multiLevelType w:val="multilevel"/>
    <w:tmpl w:val="C11E4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4B75FAC"/>
    <w:multiLevelType w:val="hybridMultilevel"/>
    <w:tmpl w:val="9DF2E0BA"/>
    <w:lvl w:ilvl="0" w:tplc="0A8E4892">
      <w:start w:val="2"/>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5311D43"/>
    <w:multiLevelType w:val="hybridMultilevel"/>
    <w:tmpl w:val="88CEDB68"/>
    <w:lvl w:ilvl="0" w:tplc="363058FE">
      <w:start w:val="1"/>
      <w:numFmt w:val="upp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6">
    <w:nsid w:val="76851F9D"/>
    <w:multiLevelType w:val="hybridMultilevel"/>
    <w:tmpl w:val="17321D72"/>
    <w:lvl w:ilvl="0" w:tplc="6D802C48">
      <w:start w:val="9"/>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nsid w:val="7793151A"/>
    <w:multiLevelType w:val="hybridMultilevel"/>
    <w:tmpl w:val="41B63180"/>
    <w:lvl w:ilvl="0" w:tplc="417815DE">
      <w:start w:val="9"/>
      <w:numFmt w:val="upperLetter"/>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48">
    <w:nsid w:val="77A019BB"/>
    <w:multiLevelType w:val="hybridMultilevel"/>
    <w:tmpl w:val="25EC158A"/>
    <w:lvl w:ilvl="0" w:tplc="20A0E8DE">
      <w:start w:val="1"/>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27"/>
  </w:num>
  <w:num w:numId="2">
    <w:abstractNumId w:val="18"/>
  </w:num>
  <w:num w:numId="3">
    <w:abstractNumId w:val="23"/>
  </w:num>
  <w:num w:numId="4">
    <w:abstractNumId w:val="25"/>
  </w:num>
  <w:num w:numId="5">
    <w:abstractNumId w:val="9"/>
  </w:num>
  <w:num w:numId="6">
    <w:abstractNumId w:val="37"/>
  </w:num>
  <w:num w:numId="7">
    <w:abstractNumId w:val="43"/>
  </w:num>
  <w:num w:numId="8">
    <w:abstractNumId w:val="14"/>
  </w:num>
  <w:num w:numId="9">
    <w:abstractNumId w:val="8"/>
  </w:num>
  <w:num w:numId="10">
    <w:abstractNumId w:val="6"/>
  </w:num>
  <w:num w:numId="11">
    <w:abstractNumId w:val="17"/>
  </w:num>
  <w:num w:numId="12">
    <w:abstractNumId w:val="0"/>
  </w:num>
  <w:num w:numId="13">
    <w:abstractNumId w:val="7"/>
  </w:num>
  <w:num w:numId="14">
    <w:abstractNumId w:val="2"/>
  </w:num>
  <w:num w:numId="15">
    <w:abstractNumId w:val="13"/>
  </w:num>
  <w:num w:numId="16">
    <w:abstractNumId w:val="44"/>
  </w:num>
  <w:num w:numId="17">
    <w:abstractNumId w:val="29"/>
  </w:num>
  <w:num w:numId="18">
    <w:abstractNumId w:val="32"/>
  </w:num>
  <w:num w:numId="19">
    <w:abstractNumId w:val="34"/>
  </w:num>
  <w:num w:numId="20">
    <w:abstractNumId w:val="3"/>
  </w:num>
  <w:num w:numId="21">
    <w:abstractNumId w:val="47"/>
  </w:num>
  <w:num w:numId="22">
    <w:abstractNumId w:val="26"/>
  </w:num>
  <w:num w:numId="23">
    <w:abstractNumId w:val="19"/>
  </w:num>
  <w:num w:numId="24">
    <w:abstractNumId w:val="20"/>
  </w:num>
  <w:num w:numId="25">
    <w:abstractNumId w:val="12"/>
  </w:num>
  <w:num w:numId="26">
    <w:abstractNumId w:val="5"/>
  </w:num>
  <w:num w:numId="27">
    <w:abstractNumId w:val="33"/>
  </w:num>
  <w:num w:numId="28">
    <w:abstractNumId w:val="45"/>
  </w:num>
  <w:num w:numId="29">
    <w:abstractNumId w:val="10"/>
  </w:num>
  <w:num w:numId="30">
    <w:abstractNumId w:val="11"/>
  </w:num>
  <w:num w:numId="31">
    <w:abstractNumId w:val="46"/>
  </w:num>
  <w:num w:numId="32">
    <w:abstractNumId w:val="30"/>
  </w:num>
  <w:num w:numId="33">
    <w:abstractNumId w:val="36"/>
  </w:num>
  <w:num w:numId="34">
    <w:abstractNumId w:val="22"/>
  </w:num>
  <w:num w:numId="35">
    <w:abstractNumId w:val="38"/>
  </w:num>
  <w:num w:numId="36">
    <w:abstractNumId w:val="35"/>
  </w:num>
  <w:num w:numId="37">
    <w:abstractNumId w:val="16"/>
  </w:num>
  <w:num w:numId="38">
    <w:abstractNumId w:val="42"/>
  </w:num>
  <w:num w:numId="39">
    <w:abstractNumId w:val="24"/>
  </w:num>
  <w:num w:numId="40">
    <w:abstractNumId w:val="40"/>
  </w:num>
  <w:num w:numId="41">
    <w:abstractNumId w:val="4"/>
  </w:num>
  <w:num w:numId="42">
    <w:abstractNumId w:val="41"/>
  </w:num>
  <w:num w:numId="43">
    <w:abstractNumId w:val="15"/>
  </w:num>
  <w:num w:numId="44">
    <w:abstractNumId w:val="31"/>
  </w:num>
  <w:num w:numId="45">
    <w:abstractNumId w:val="1"/>
  </w:num>
  <w:num w:numId="46">
    <w:abstractNumId w:val="48"/>
  </w:num>
  <w:num w:numId="47">
    <w:abstractNumId w:val="39"/>
  </w:num>
  <w:num w:numId="48">
    <w:abstractNumId w:val="28"/>
  </w:num>
  <w:num w:numId="4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EC795D"/>
    <w:rsid w:val="00000344"/>
    <w:rsid w:val="000022DB"/>
    <w:rsid w:val="00014E8E"/>
    <w:rsid w:val="00016E32"/>
    <w:rsid w:val="00030965"/>
    <w:rsid w:val="00033095"/>
    <w:rsid w:val="000357BA"/>
    <w:rsid w:val="00040295"/>
    <w:rsid w:val="00043C0F"/>
    <w:rsid w:val="00043D7B"/>
    <w:rsid w:val="0004521B"/>
    <w:rsid w:val="00070BD8"/>
    <w:rsid w:val="0007186E"/>
    <w:rsid w:val="00071EAC"/>
    <w:rsid w:val="00072613"/>
    <w:rsid w:val="00074247"/>
    <w:rsid w:val="00083690"/>
    <w:rsid w:val="00083CEC"/>
    <w:rsid w:val="00087A2E"/>
    <w:rsid w:val="00090736"/>
    <w:rsid w:val="000A6A6D"/>
    <w:rsid w:val="000A6BAE"/>
    <w:rsid w:val="000A7924"/>
    <w:rsid w:val="000B36BB"/>
    <w:rsid w:val="000B699D"/>
    <w:rsid w:val="000B7F7F"/>
    <w:rsid w:val="000C6388"/>
    <w:rsid w:val="000D155A"/>
    <w:rsid w:val="000D3DF2"/>
    <w:rsid w:val="000D502B"/>
    <w:rsid w:val="000D5421"/>
    <w:rsid w:val="000E35C3"/>
    <w:rsid w:val="000F0790"/>
    <w:rsid w:val="000F0D63"/>
    <w:rsid w:val="000F4FF6"/>
    <w:rsid w:val="000F68DB"/>
    <w:rsid w:val="00101EA7"/>
    <w:rsid w:val="00101FA6"/>
    <w:rsid w:val="0010226B"/>
    <w:rsid w:val="00104627"/>
    <w:rsid w:val="00106569"/>
    <w:rsid w:val="00110FF4"/>
    <w:rsid w:val="00112AC7"/>
    <w:rsid w:val="00112F5E"/>
    <w:rsid w:val="00115E72"/>
    <w:rsid w:val="00116881"/>
    <w:rsid w:val="00131E2F"/>
    <w:rsid w:val="00131EF5"/>
    <w:rsid w:val="00134B34"/>
    <w:rsid w:val="00137847"/>
    <w:rsid w:val="00140C19"/>
    <w:rsid w:val="00141688"/>
    <w:rsid w:val="00145DCA"/>
    <w:rsid w:val="00145EBE"/>
    <w:rsid w:val="001466A5"/>
    <w:rsid w:val="001537B1"/>
    <w:rsid w:val="001630C0"/>
    <w:rsid w:val="00165620"/>
    <w:rsid w:val="001659E9"/>
    <w:rsid w:val="00172829"/>
    <w:rsid w:val="00177028"/>
    <w:rsid w:val="00177256"/>
    <w:rsid w:val="00177EE5"/>
    <w:rsid w:val="001847E1"/>
    <w:rsid w:val="00185C04"/>
    <w:rsid w:val="0019217C"/>
    <w:rsid w:val="001A0297"/>
    <w:rsid w:val="001A0C05"/>
    <w:rsid w:val="001A6CA1"/>
    <w:rsid w:val="001C2238"/>
    <w:rsid w:val="001C3CEF"/>
    <w:rsid w:val="001D33D1"/>
    <w:rsid w:val="001E6429"/>
    <w:rsid w:val="001F3A02"/>
    <w:rsid w:val="001F41C8"/>
    <w:rsid w:val="00201E89"/>
    <w:rsid w:val="00204215"/>
    <w:rsid w:val="00204C8A"/>
    <w:rsid w:val="00212228"/>
    <w:rsid w:val="00215DA8"/>
    <w:rsid w:val="00216706"/>
    <w:rsid w:val="00222DA7"/>
    <w:rsid w:val="002411DD"/>
    <w:rsid w:val="00242D20"/>
    <w:rsid w:val="002441D8"/>
    <w:rsid w:val="0024791C"/>
    <w:rsid w:val="002547EB"/>
    <w:rsid w:val="00263654"/>
    <w:rsid w:val="0026539D"/>
    <w:rsid w:val="002703C4"/>
    <w:rsid w:val="00277330"/>
    <w:rsid w:val="002776C5"/>
    <w:rsid w:val="002805D8"/>
    <w:rsid w:val="0028087B"/>
    <w:rsid w:val="00282602"/>
    <w:rsid w:val="002862F7"/>
    <w:rsid w:val="002922B7"/>
    <w:rsid w:val="00293AD2"/>
    <w:rsid w:val="002B0122"/>
    <w:rsid w:val="002B014C"/>
    <w:rsid w:val="002B0BE7"/>
    <w:rsid w:val="002B3BB6"/>
    <w:rsid w:val="002C0C41"/>
    <w:rsid w:val="002C6460"/>
    <w:rsid w:val="002D7330"/>
    <w:rsid w:val="002D75B3"/>
    <w:rsid w:val="002E13C3"/>
    <w:rsid w:val="002E59EA"/>
    <w:rsid w:val="002F04A6"/>
    <w:rsid w:val="002F3657"/>
    <w:rsid w:val="002F4ABB"/>
    <w:rsid w:val="00303ABF"/>
    <w:rsid w:val="00321930"/>
    <w:rsid w:val="0032417E"/>
    <w:rsid w:val="0033377C"/>
    <w:rsid w:val="00354143"/>
    <w:rsid w:val="003542F7"/>
    <w:rsid w:val="003553BA"/>
    <w:rsid w:val="0035577A"/>
    <w:rsid w:val="003569AB"/>
    <w:rsid w:val="0036098B"/>
    <w:rsid w:val="0036254F"/>
    <w:rsid w:val="00366F4F"/>
    <w:rsid w:val="00372074"/>
    <w:rsid w:val="0037501D"/>
    <w:rsid w:val="00380B70"/>
    <w:rsid w:val="0038252C"/>
    <w:rsid w:val="00382F48"/>
    <w:rsid w:val="00390806"/>
    <w:rsid w:val="00391105"/>
    <w:rsid w:val="003A1842"/>
    <w:rsid w:val="003A5A13"/>
    <w:rsid w:val="003B0255"/>
    <w:rsid w:val="003B2E88"/>
    <w:rsid w:val="003B4A8E"/>
    <w:rsid w:val="003B59FB"/>
    <w:rsid w:val="003C01FF"/>
    <w:rsid w:val="003C2363"/>
    <w:rsid w:val="003E09D1"/>
    <w:rsid w:val="003E1DDF"/>
    <w:rsid w:val="003E5D63"/>
    <w:rsid w:val="003F4E5D"/>
    <w:rsid w:val="003F6FDA"/>
    <w:rsid w:val="00404B6D"/>
    <w:rsid w:val="004071CC"/>
    <w:rsid w:val="004075D5"/>
    <w:rsid w:val="00413D70"/>
    <w:rsid w:val="00422EEC"/>
    <w:rsid w:val="00426352"/>
    <w:rsid w:val="004318B6"/>
    <w:rsid w:val="004333EF"/>
    <w:rsid w:val="0044116F"/>
    <w:rsid w:val="004501E2"/>
    <w:rsid w:val="0045381A"/>
    <w:rsid w:val="004557A0"/>
    <w:rsid w:val="0045750E"/>
    <w:rsid w:val="00463E31"/>
    <w:rsid w:val="00483D76"/>
    <w:rsid w:val="0048492B"/>
    <w:rsid w:val="00487A31"/>
    <w:rsid w:val="004A278A"/>
    <w:rsid w:val="004A353E"/>
    <w:rsid w:val="004A3C46"/>
    <w:rsid w:val="004A3F75"/>
    <w:rsid w:val="004B5647"/>
    <w:rsid w:val="004B5EB0"/>
    <w:rsid w:val="004C052B"/>
    <w:rsid w:val="004C0C6F"/>
    <w:rsid w:val="004C1CDD"/>
    <w:rsid w:val="004D46B6"/>
    <w:rsid w:val="004F0359"/>
    <w:rsid w:val="004F7948"/>
    <w:rsid w:val="005135E1"/>
    <w:rsid w:val="00514EC3"/>
    <w:rsid w:val="00520401"/>
    <w:rsid w:val="005245F6"/>
    <w:rsid w:val="0053028B"/>
    <w:rsid w:val="00532F8F"/>
    <w:rsid w:val="00533334"/>
    <w:rsid w:val="00541E7E"/>
    <w:rsid w:val="00546F52"/>
    <w:rsid w:val="00550D40"/>
    <w:rsid w:val="00552646"/>
    <w:rsid w:val="005571FB"/>
    <w:rsid w:val="00557579"/>
    <w:rsid w:val="0056175A"/>
    <w:rsid w:val="00563626"/>
    <w:rsid w:val="00564B50"/>
    <w:rsid w:val="0057030E"/>
    <w:rsid w:val="00571CE1"/>
    <w:rsid w:val="0057415C"/>
    <w:rsid w:val="00577102"/>
    <w:rsid w:val="0058267C"/>
    <w:rsid w:val="00592E34"/>
    <w:rsid w:val="005962E1"/>
    <w:rsid w:val="005970B4"/>
    <w:rsid w:val="005A3F8D"/>
    <w:rsid w:val="005C2CF4"/>
    <w:rsid w:val="005D6286"/>
    <w:rsid w:val="005E2E75"/>
    <w:rsid w:val="005E79F0"/>
    <w:rsid w:val="005F0E14"/>
    <w:rsid w:val="005F484D"/>
    <w:rsid w:val="005F6EB2"/>
    <w:rsid w:val="00603539"/>
    <w:rsid w:val="00615049"/>
    <w:rsid w:val="00620D76"/>
    <w:rsid w:val="00620FC2"/>
    <w:rsid w:val="006221A8"/>
    <w:rsid w:val="0064341C"/>
    <w:rsid w:val="00645989"/>
    <w:rsid w:val="006505EF"/>
    <w:rsid w:val="006505FF"/>
    <w:rsid w:val="00650E3E"/>
    <w:rsid w:val="006645D5"/>
    <w:rsid w:val="0067170B"/>
    <w:rsid w:val="00690497"/>
    <w:rsid w:val="00694DCC"/>
    <w:rsid w:val="00695DB6"/>
    <w:rsid w:val="006A1D7A"/>
    <w:rsid w:val="006A2B30"/>
    <w:rsid w:val="006A7263"/>
    <w:rsid w:val="006B00C4"/>
    <w:rsid w:val="006B14B1"/>
    <w:rsid w:val="006B2BEF"/>
    <w:rsid w:val="006B6180"/>
    <w:rsid w:val="006B6884"/>
    <w:rsid w:val="006E2465"/>
    <w:rsid w:val="006F166C"/>
    <w:rsid w:val="006F178A"/>
    <w:rsid w:val="006F268A"/>
    <w:rsid w:val="006F4EA6"/>
    <w:rsid w:val="006F7DBA"/>
    <w:rsid w:val="00704EC0"/>
    <w:rsid w:val="007051BC"/>
    <w:rsid w:val="007054D3"/>
    <w:rsid w:val="007147A3"/>
    <w:rsid w:val="00715099"/>
    <w:rsid w:val="00716FE8"/>
    <w:rsid w:val="0071789C"/>
    <w:rsid w:val="00723FD5"/>
    <w:rsid w:val="00726CCD"/>
    <w:rsid w:val="00735617"/>
    <w:rsid w:val="0073605A"/>
    <w:rsid w:val="00737250"/>
    <w:rsid w:val="00747647"/>
    <w:rsid w:val="007575F0"/>
    <w:rsid w:val="00760383"/>
    <w:rsid w:val="00761A7D"/>
    <w:rsid w:val="00767064"/>
    <w:rsid w:val="007717FD"/>
    <w:rsid w:val="007718D4"/>
    <w:rsid w:val="00773B69"/>
    <w:rsid w:val="00781055"/>
    <w:rsid w:val="0078158E"/>
    <w:rsid w:val="00795921"/>
    <w:rsid w:val="007A1C35"/>
    <w:rsid w:val="007A2DAE"/>
    <w:rsid w:val="007B153A"/>
    <w:rsid w:val="007B3FF9"/>
    <w:rsid w:val="007B679B"/>
    <w:rsid w:val="007B6CB8"/>
    <w:rsid w:val="007B7D1A"/>
    <w:rsid w:val="007C12D9"/>
    <w:rsid w:val="007C707C"/>
    <w:rsid w:val="007D0DF9"/>
    <w:rsid w:val="007D3D30"/>
    <w:rsid w:val="007D7F4B"/>
    <w:rsid w:val="007F33A2"/>
    <w:rsid w:val="007F696C"/>
    <w:rsid w:val="008022C6"/>
    <w:rsid w:val="008104CB"/>
    <w:rsid w:val="008107B7"/>
    <w:rsid w:val="00811CB9"/>
    <w:rsid w:val="00814345"/>
    <w:rsid w:val="00814B73"/>
    <w:rsid w:val="0081572B"/>
    <w:rsid w:val="00821BCB"/>
    <w:rsid w:val="008353DE"/>
    <w:rsid w:val="0083640A"/>
    <w:rsid w:val="0084096B"/>
    <w:rsid w:val="00855F8E"/>
    <w:rsid w:val="00864964"/>
    <w:rsid w:val="0087023C"/>
    <w:rsid w:val="0087369C"/>
    <w:rsid w:val="0087559A"/>
    <w:rsid w:val="0087718B"/>
    <w:rsid w:val="00885204"/>
    <w:rsid w:val="0089766A"/>
    <w:rsid w:val="008976B5"/>
    <w:rsid w:val="008A15E3"/>
    <w:rsid w:val="008A3B98"/>
    <w:rsid w:val="008A6A1F"/>
    <w:rsid w:val="008C1A5E"/>
    <w:rsid w:val="008C3C76"/>
    <w:rsid w:val="008C6009"/>
    <w:rsid w:val="008C6C02"/>
    <w:rsid w:val="008C7137"/>
    <w:rsid w:val="008D1D45"/>
    <w:rsid w:val="008D21D1"/>
    <w:rsid w:val="008D65D7"/>
    <w:rsid w:val="008D6C1C"/>
    <w:rsid w:val="0090007E"/>
    <w:rsid w:val="00901237"/>
    <w:rsid w:val="00902927"/>
    <w:rsid w:val="00903D76"/>
    <w:rsid w:val="009100D8"/>
    <w:rsid w:val="00917E4A"/>
    <w:rsid w:val="00924B0A"/>
    <w:rsid w:val="009253BE"/>
    <w:rsid w:val="00931675"/>
    <w:rsid w:val="00935FC1"/>
    <w:rsid w:val="009422B3"/>
    <w:rsid w:val="0094284B"/>
    <w:rsid w:val="00947988"/>
    <w:rsid w:val="00953586"/>
    <w:rsid w:val="0095754B"/>
    <w:rsid w:val="00960988"/>
    <w:rsid w:val="00960FFE"/>
    <w:rsid w:val="00963001"/>
    <w:rsid w:val="0096351E"/>
    <w:rsid w:val="0097017F"/>
    <w:rsid w:val="00974C67"/>
    <w:rsid w:val="00974DC8"/>
    <w:rsid w:val="00975EF9"/>
    <w:rsid w:val="009811CD"/>
    <w:rsid w:val="009812C4"/>
    <w:rsid w:val="00982DF0"/>
    <w:rsid w:val="00983164"/>
    <w:rsid w:val="009A6BF1"/>
    <w:rsid w:val="009B11ED"/>
    <w:rsid w:val="009B4644"/>
    <w:rsid w:val="009B4E52"/>
    <w:rsid w:val="009B77CC"/>
    <w:rsid w:val="009C2CE8"/>
    <w:rsid w:val="009C5651"/>
    <w:rsid w:val="009E3828"/>
    <w:rsid w:val="009E6BA1"/>
    <w:rsid w:val="009F3DEA"/>
    <w:rsid w:val="00A052C5"/>
    <w:rsid w:val="00A06A37"/>
    <w:rsid w:val="00A11AD4"/>
    <w:rsid w:val="00A12821"/>
    <w:rsid w:val="00A25F93"/>
    <w:rsid w:val="00A27DC5"/>
    <w:rsid w:val="00A3281E"/>
    <w:rsid w:val="00A400EB"/>
    <w:rsid w:val="00A4262F"/>
    <w:rsid w:val="00A44ECC"/>
    <w:rsid w:val="00A46F2E"/>
    <w:rsid w:val="00A5564C"/>
    <w:rsid w:val="00A604BA"/>
    <w:rsid w:val="00A626A5"/>
    <w:rsid w:val="00A65B5F"/>
    <w:rsid w:val="00A74EEB"/>
    <w:rsid w:val="00A75A68"/>
    <w:rsid w:val="00A81055"/>
    <w:rsid w:val="00A84093"/>
    <w:rsid w:val="00A84240"/>
    <w:rsid w:val="00A859C0"/>
    <w:rsid w:val="00A9054C"/>
    <w:rsid w:val="00A92FF2"/>
    <w:rsid w:val="00A95C6B"/>
    <w:rsid w:val="00A978EE"/>
    <w:rsid w:val="00AA0CCC"/>
    <w:rsid w:val="00AA5E26"/>
    <w:rsid w:val="00AB27EB"/>
    <w:rsid w:val="00AB2BE8"/>
    <w:rsid w:val="00AB39DD"/>
    <w:rsid w:val="00AC4F6A"/>
    <w:rsid w:val="00AD427D"/>
    <w:rsid w:val="00AD605E"/>
    <w:rsid w:val="00AE077C"/>
    <w:rsid w:val="00AE41DA"/>
    <w:rsid w:val="00AF3B81"/>
    <w:rsid w:val="00AF44D3"/>
    <w:rsid w:val="00AF567C"/>
    <w:rsid w:val="00B00730"/>
    <w:rsid w:val="00B1225B"/>
    <w:rsid w:val="00B126EF"/>
    <w:rsid w:val="00B214E0"/>
    <w:rsid w:val="00B2648A"/>
    <w:rsid w:val="00B34B58"/>
    <w:rsid w:val="00B412B8"/>
    <w:rsid w:val="00B4372B"/>
    <w:rsid w:val="00B53F91"/>
    <w:rsid w:val="00B673DB"/>
    <w:rsid w:val="00B71D0A"/>
    <w:rsid w:val="00B73746"/>
    <w:rsid w:val="00B74BA9"/>
    <w:rsid w:val="00B80509"/>
    <w:rsid w:val="00B81EAA"/>
    <w:rsid w:val="00B822A4"/>
    <w:rsid w:val="00B83FF3"/>
    <w:rsid w:val="00B92968"/>
    <w:rsid w:val="00BA0520"/>
    <w:rsid w:val="00BA0836"/>
    <w:rsid w:val="00BA2766"/>
    <w:rsid w:val="00BB2759"/>
    <w:rsid w:val="00BB545A"/>
    <w:rsid w:val="00BB56B1"/>
    <w:rsid w:val="00BB5D6A"/>
    <w:rsid w:val="00BC1DDB"/>
    <w:rsid w:val="00BC2EB3"/>
    <w:rsid w:val="00BE38BB"/>
    <w:rsid w:val="00BE447F"/>
    <w:rsid w:val="00BE4B1F"/>
    <w:rsid w:val="00BF2CED"/>
    <w:rsid w:val="00BF3484"/>
    <w:rsid w:val="00BF39DA"/>
    <w:rsid w:val="00BF4478"/>
    <w:rsid w:val="00C01DCF"/>
    <w:rsid w:val="00C02090"/>
    <w:rsid w:val="00C048A4"/>
    <w:rsid w:val="00C07ECB"/>
    <w:rsid w:val="00C13448"/>
    <w:rsid w:val="00C2072E"/>
    <w:rsid w:val="00C20B21"/>
    <w:rsid w:val="00C263A0"/>
    <w:rsid w:val="00C3051F"/>
    <w:rsid w:val="00C31CDE"/>
    <w:rsid w:val="00C322F1"/>
    <w:rsid w:val="00C42910"/>
    <w:rsid w:val="00C44AA6"/>
    <w:rsid w:val="00C509B0"/>
    <w:rsid w:val="00C56B30"/>
    <w:rsid w:val="00C607E4"/>
    <w:rsid w:val="00C61378"/>
    <w:rsid w:val="00C7026E"/>
    <w:rsid w:val="00C7030E"/>
    <w:rsid w:val="00C735C7"/>
    <w:rsid w:val="00C87D7F"/>
    <w:rsid w:val="00C95885"/>
    <w:rsid w:val="00C97D75"/>
    <w:rsid w:val="00CA033D"/>
    <w:rsid w:val="00CA21F8"/>
    <w:rsid w:val="00CA359D"/>
    <w:rsid w:val="00CB396C"/>
    <w:rsid w:val="00CB458A"/>
    <w:rsid w:val="00CB56C6"/>
    <w:rsid w:val="00CB7DEF"/>
    <w:rsid w:val="00CC0A27"/>
    <w:rsid w:val="00CC0DD3"/>
    <w:rsid w:val="00CD149B"/>
    <w:rsid w:val="00CE239B"/>
    <w:rsid w:val="00CE33E5"/>
    <w:rsid w:val="00CF0AEF"/>
    <w:rsid w:val="00CF37D3"/>
    <w:rsid w:val="00CF6F65"/>
    <w:rsid w:val="00D104CF"/>
    <w:rsid w:val="00D128BC"/>
    <w:rsid w:val="00D15962"/>
    <w:rsid w:val="00D16208"/>
    <w:rsid w:val="00D17F89"/>
    <w:rsid w:val="00D20D3B"/>
    <w:rsid w:val="00D23CF7"/>
    <w:rsid w:val="00D33D93"/>
    <w:rsid w:val="00D41856"/>
    <w:rsid w:val="00D457AE"/>
    <w:rsid w:val="00D52C40"/>
    <w:rsid w:val="00D57D07"/>
    <w:rsid w:val="00D628B4"/>
    <w:rsid w:val="00D667B6"/>
    <w:rsid w:val="00D67F04"/>
    <w:rsid w:val="00D817C6"/>
    <w:rsid w:val="00D878B8"/>
    <w:rsid w:val="00D90430"/>
    <w:rsid w:val="00D95A10"/>
    <w:rsid w:val="00DA1390"/>
    <w:rsid w:val="00DA14E3"/>
    <w:rsid w:val="00DB473A"/>
    <w:rsid w:val="00DE00E7"/>
    <w:rsid w:val="00DE0E4C"/>
    <w:rsid w:val="00E0012B"/>
    <w:rsid w:val="00E11A5D"/>
    <w:rsid w:val="00E11FB9"/>
    <w:rsid w:val="00E21233"/>
    <w:rsid w:val="00E32DCA"/>
    <w:rsid w:val="00E32DF8"/>
    <w:rsid w:val="00E400BA"/>
    <w:rsid w:val="00E453F5"/>
    <w:rsid w:val="00E45C9E"/>
    <w:rsid w:val="00E552BF"/>
    <w:rsid w:val="00E56C6B"/>
    <w:rsid w:val="00E57BEA"/>
    <w:rsid w:val="00E66A2B"/>
    <w:rsid w:val="00E73121"/>
    <w:rsid w:val="00E7540D"/>
    <w:rsid w:val="00E7744C"/>
    <w:rsid w:val="00E8084C"/>
    <w:rsid w:val="00E83E7E"/>
    <w:rsid w:val="00E91DF3"/>
    <w:rsid w:val="00EA3894"/>
    <w:rsid w:val="00EA56AC"/>
    <w:rsid w:val="00EB5F36"/>
    <w:rsid w:val="00EC49C9"/>
    <w:rsid w:val="00EC795D"/>
    <w:rsid w:val="00ED32C4"/>
    <w:rsid w:val="00ED3CC5"/>
    <w:rsid w:val="00ED43E1"/>
    <w:rsid w:val="00EE18C1"/>
    <w:rsid w:val="00EE43DB"/>
    <w:rsid w:val="00EE5B62"/>
    <w:rsid w:val="00EF1B2F"/>
    <w:rsid w:val="00EF2733"/>
    <w:rsid w:val="00EF420F"/>
    <w:rsid w:val="00F00CEE"/>
    <w:rsid w:val="00F065B6"/>
    <w:rsid w:val="00F10FE4"/>
    <w:rsid w:val="00F11574"/>
    <w:rsid w:val="00F1234B"/>
    <w:rsid w:val="00F17A8D"/>
    <w:rsid w:val="00F23EF4"/>
    <w:rsid w:val="00F24B7E"/>
    <w:rsid w:val="00F257D8"/>
    <w:rsid w:val="00F26B77"/>
    <w:rsid w:val="00F365B8"/>
    <w:rsid w:val="00F40EF9"/>
    <w:rsid w:val="00F47513"/>
    <w:rsid w:val="00F52B56"/>
    <w:rsid w:val="00F536E2"/>
    <w:rsid w:val="00F537F8"/>
    <w:rsid w:val="00F656D6"/>
    <w:rsid w:val="00F71C73"/>
    <w:rsid w:val="00F7261E"/>
    <w:rsid w:val="00F75D7D"/>
    <w:rsid w:val="00F82D5D"/>
    <w:rsid w:val="00F83944"/>
    <w:rsid w:val="00F85DD4"/>
    <w:rsid w:val="00F86483"/>
    <w:rsid w:val="00F92D8D"/>
    <w:rsid w:val="00F9421B"/>
    <w:rsid w:val="00FA445A"/>
    <w:rsid w:val="00FB0B3E"/>
    <w:rsid w:val="00FB1454"/>
    <w:rsid w:val="00FB1CE8"/>
    <w:rsid w:val="00FB3958"/>
    <w:rsid w:val="00FC34A6"/>
    <w:rsid w:val="00FC3BF5"/>
    <w:rsid w:val="00FC6420"/>
    <w:rsid w:val="00FD0D92"/>
    <w:rsid w:val="00FD2440"/>
    <w:rsid w:val="00FE5B48"/>
    <w:rsid w:val="00FF3D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23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C795D"/>
    <w:pPr>
      <w:keepNext/>
      <w:jc w:val="center"/>
      <w:outlineLvl w:val="0"/>
    </w:pPr>
    <w:rPr>
      <w:rFonts w:ascii=".VnTimeH" w:hAnsi=".VnTimeH"/>
      <w:b/>
      <w:sz w:val="26"/>
      <w:szCs w:val="20"/>
    </w:rPr>
  </w:style>
  <w:style w:type="paragraph" w:styleId="Heading2">
    <w:name w:val="heading 2"/>
    <w:basedOn w:val="Normal"/>
    <w:next w:val="Normal"/>
    <w:link w:val="Heading2Char"/>
    <w:unhideWhenUsed/>
    <w:qFormat/>
    <w:rsid w:val="00EC795D"/>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795D"/>
    <w:rPr>
      <w:rFonts w:ascii=".VnTimeH" w:eastAsia="Times New Roman" w:hAnsi=".VnTimeH" w:cs="Times New Roman"/>
      <w:b/>
      <w:sz w:val="26"/>
      <w:szCs w:val="20"/>
    </w:rPr>
  </w:style>
  <w:style w:type="character" w:customStyle="1" w:styleId="Heading2Char">
    <w:name w:val="Heading 2 Char"/>
    <w:basedOn w:val="DefaultParagraphFont"/>
    <w:link w:val="Heading2"/>
    <w:rsid w:val="00EC795D"/>
    <w:rPr>
      <w:rFonts w:ascii="Calibri Light" w:eastAsia="Times New Roman" w:hAnsi="Calibri Light" w:cs="Times New Roman"/>
      <w:b/>
      <w:bCs/>
      <w:i/>
      <w:iCs/>
      <w:sz w:val="28"/>
      <w:szCs w:val="28"/>
    </w:rPr>
  </w:style>
  <w:style w:type="paragraph" w:styleId="BalloonText">
    <w:name w:val="Balloon Text"/>
    <w:basedOn w:val="Normal"/>
    <w:link w:val="BalloonTextChar"/>
    <w:uiPriority w:val="99"/>
    <w:rsid w:val="00EC795D"/>
    <w:rPr>
      <w:rFonts w:ascii="Tahoma" w:hAnsi="Tahoma" w:cs="Tahoma"/>
      <w:sz w:val="16"/>
      <w:szCs w:val="16"/>
    </w:rPr>
  </w:style>
  <w:style w:type="character" w:customStyle="1" w:styleId="BalloonTextChar">
    <w:name w:val="Balloon Text Char"/>
    <w:basedOn w:val="DefaultParagraphFont"/>
    <w:link w:val="BalloonText"/>
    <w:uiPriority w:val="99"/>
    <w:rsid w:val="00EC795D"/>
    <w:rPr>
      <w:rFonts w:ascii="Tahoma" w:eastAsia="Times New Roman" w:hAnsi="Tahoma" w:cs="Tahoma"/>
      <w:sz w:val="16"/>
      <w:szCs w:val="16"/>
    </w:rPr>
  </w:style>
  <w:style w:type="paragraph" w:styleId="Header">
    <w:name w:val="header"/>
    <w:basedOn w:val="Normal"/>
    <w:link w:val="HeaderChar"/>
    <w:uiPriority w:val="99"/>
    <w:rsid w:val="00EC795D"/>
    <w:pPr>
      <w:tabs>
        <w:tab w:val="center" w:pos="4680"/>
        <w:tab w:val="right" w:pos="9360"/>
      </w:tabs>
    </w:pPr>
  </w:style>
  <w:style w:type="character" w:customStyle="1" w:styleId="HeaderChar">
    <w:name w:val="Header Char"/>
    <w:basedOn w:val="DefaultParagraphFont"/>
    <w:link w:val="Header"/>
    <w:uiPriority w:val="99"/>
    <w:rsid w:val="00EC795D"/>
    <w:rPr>
      <w:rFonts w:ascii="Times New Roman" w:eastAsia="Times New Roman" w:hAnsi="Times New Roman" w:cs="Times New Roman"/>
      <w:sz w:val="24"/>
      <w:szCs w:val="24"/>
    </w:rPr>
  </w:style>
  <w:style w:type="paragraph" w:styleId="Footer">
    <w:name w:val="footer"/>
    <w:basedOn w:val="Normal"/>
    <w:link w:val="FooterChar"/>
    <w:uiPriority w:val="99"/>
    <w:rsid w:val="00EC795D"/>
    <w:pPr>
      <w:tabs>
        <w:tab w:val="center" w:pos="4680"/>
        <w:tab w:val="right" w:pos="9360"/>
      </w:tabs>
    </w:pPr>
  </w:style>
  <w:style w:type="character" w:customStyle="1" w:styleId="FooterChar">
    <w:name w:val="Footer Char"/>
    <w:basedOn w:val="DefaultParagraphFont"/>
    <w:link w:val="Footer"/>
    <w:uiPriority w:val="99"/>
    <w:rsid w:val="00EC795D"/>
    <w:rPr>
      <w:rFonts w:ascii="Times New Roman" w:eastAsia="Times New Roman" w:hAnsi="Times New Roman" w:cs="Times New Roman"/>
      <w:sz w:val="24"/>
      <w:szCs w:val="24"/>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1,BVI fnr,Re"/>
    <w:link w:val="CarattereCarattereCharCharCharCharCharCharZchn"/>
    <w:uiPriority w:val="99"/>
    <w:unhideWhenUsed/>
    <w:qFormat/>
    <w:rsid w:val="00EC795D"/>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EC795D"/>
    <w:pPr>
      <w:spacing w:after="160" w:line="240" w:lineRule="exact"/>
    </w:pPr>
    <w:rPr>
      <w:rFonts w:asciiTheme="minorHAnsi" w:eastAsiaTheme="minorHAnsi" w:hAnsiTheme="minorHAnsi" w:cstheme="minorBidi"/>
      <w:sz w:val="22"/>
      <w:szCs w:val="22"/>
      <w:vertAlign w:val="superscript"/>
    </w:rPr>
  </w:style>
  <w:style w:type="paragraph" w:styleId="FootnoteText">
    <w:name w:val="footnote text"/>
    <w:basedOn w:val="Normal"/>
    <w:link w:val="FootnoteTextChar"/>
    <w:uiPriority w:val="99"/>
    <w:unhideWhenUsed/>
    <w:qFormat/>
    <w:rsid w:val="00EC795D"/>
    <w:rPr>
      <w:rFonts w:eastAsia="Calibri"/>
      <w:b/>
      <w:color w:val="000000"/>
      <w:sz w:val="20"/>
      <w:szCs w:val="20"/>
    </w:rPr>
  </w:style>
  <w:style w:type="character" w:customStyle="1" w:styleId="FootnoteTextChar">
    <w:name w:val="Footnote Text Char"/>
    <w:basedOn w:val="DefaultParagraphFont"/>
    <w:link w:val="FootnoteText"/>
    <w:uiPriority w:val="99"/>
    <w:qFormat/>
    <w:rsid w:val="00EC795D"/>
    <w:rPr>
      <w:rFonts w:ascii="Times New Roman" w:eastAsia="Calibri" w:hAnsi="Times New Roman" w:cs="Times New Roman"/>
      <w:b/>
      <w:color w:val="000000"/>
      <w:sz w:val="20"/>
      <w:szCs w:val="20"/>
    </w:rPr>
  </w:style>
  <w:style w:type="paragraph" w:customStyle="1" w:styleId="ftrefCharChar">
    <w:name w:val="ftref Char Char"/>
    <w:aliases w:val="Footnote Char Char,16 Point Char Char,Superscript 6 Point Char Char,Superscript 6 Point + 11 pt Char Char,(NECG) Footnote Reference Char Char,Fußnotenzeichen DISS Char Char,fr Char Char,Footnote Ref in FtNote Char Char"/>
    <w:basedOn w:val="Normal"/>
    <w:uiPriority w:val="99"/>
    <w:qFormat/>
    <w:rsid w:val="00EC795D"/>
    <w:pPr>
      <w:spacing w:before="100" w:line="240" w:lineRule="exact"/>
    </w:pPr>
    <w:rPr>
      <w:rFonts w:ascii="Arial" w:eastAsia="Arial" w:hAnsi="Arial"/>
      <w:sz w:val="20"/>
      <w:szCs w:val="20"/>
      <w:vertAlign w:val="superscript"/>
    </w:rPr>
  </w:style>
  <w:style w:type="character" w:styleId="Strong">
    <w:name w:val="Strong"/>
    <w:uiPriority w:val="22"/>
    <w:qFormat/>
    <w:rsid w:val="00EC795D"/>
    <w:rPr>
      <w:b/>
      <w:bCs/>
    </w:rPr>
  </w:style>
  <w:style w:type="paragraph" w:styleId="NormalWeb">
    <w:name w:val="Normal (Web)"/>
    <w:aliases w:val=" Char Char,Char Char,Char Char Char Char Char Char Char Char Char,Char Char Char Char Char Char Char Char Char Char Char,Обычный (веб)1,Обычный (веб) Знак,Обычный (веб) Знак1,Обычный (веб) Знак Знак"/>
    <w:basedOn w:val="Normal"/>
    <w:link w:val="NormalWebChar"/>
    <w:uiPriority w:val="99"/>
    <w:unhideWhenUsed/>
    <w:qFormat/>
    <w:rsid w:val="00EC795D"/>
    <w:pPr>
      <w:spacing w:before="100" w:beforeAutospacing="1" w:after="100" w:afterAutospacing="1"/>
    </w:pPr>
  </w:style>
  <w:style w:type="character" w:customStyle="1" w:styleId="NormalWebChar">
    <w:name w:val="Normal (Web) Char"/>
    <w:aliases w:val=" Char Char Char,Char Char Char,Char Char Char Char Char Char Char Char Char Char,Char Char Char Char Char Char Char Char Char Char Char Char,Обычный (веб)1 Char,Обычный (веб) Знак Char,Обычный (веб) Знак1 Char"/>
    <w:link w:val="NormalWeb"/>
    <w:uiPriority w:val="99"/>
    <w:rsid w:val="00EC795D"/>
    <w:rPr>
      <w:rFonts w:ascii="Times New Roman" w:eastAsia="Times New Roman" w:hAnsi="Times New Roman" w:cs="Times New Roman"/>
      <w:sz w:val="24"/>
      <w:szCs w:val="24"/>
    </w:rPr>
  </w:style>
  <w:style w:type="paragraph" w:styleId="ListParagraph">
    <w:name w:val="List Paragraph"/>
    <w:basedOn w:val="Normal"/>
    <w:link w:val="ListParagraphChar"/>
    <w:uiPriority w:val="1"/>
    <w:qFormat/>
    <w:rsid w:val="00EC795D"/>
    <w:pPr>
      <w:spacing w:after="160" w:line="259" w:lineRule="auto"/>
      <w:ind w:left="720"/>
      <w:contextualSpacing/>
    </w:pPr>
    <w:rPr>
      <w:rFonts w:ascii="Calibri" w:eastAsia="Calibri" w:hAnsi="Calibri"/>
      <w:sz w:val="22"/>
      <w:szCs w:val="22"/>
    </w:rPr>
  </w:style>
  <w:style w:type="character" w:customStyle="1" w:styleId="ListParagraphChar">
    <w:name w:val="List Paragraph Char"/>
    <w:link w:val="ListParagraph"/>
    <w:uiPriority w:val="1"/>
    <w:qFormat/>
    <w:locked/>
    <w:rsid w:val="00EC795D"/>
    <w:rPr>
      <w:rFonts w:ascii="Calibri" w:eastAsia="Calibri" w:hAnsi="Calibri" w:cs="Times New Roman"/>
    </w:rPr>
  </w:style>
  <w:style w:type="character" w:customStyle="1" w:styleId="Vnbnnidung2">
    <w:name w:val="Văn bản nội dung (2)_"/>
    <w:link w:val="Vnbnnidung20"/>
    <w:uiPriority w:val="99"/>
    <w:locked/>
    <w:rsid w:val="00EC795D"/>
    <w:rPr>
      <w:sz w:val="26"/>
      <w:szCs w:val="26"/>
      <w:shd w:val="clear" w:color="auto" w:fill="FFFFFF"/>
    </w:rPr>
  </w:style>
  <w:style w:type="paragraph" w:customStyle="1" w:styleId="Vnbnnidung20">
    <w:name w:val="Văn bản nội dung (2)"/>
    <w:basedOn w:val="Normal"/>
    <w:link w:val="Vnbnnidung2"/>
    <w:uiPriority w:val="99"/>
    <w:rsid w:val="00EC795D"/>
    <w:pPr>
      <w:widowControl w:val="0"/>
      <w:shd w:val="clear" w:color="auto" w:fill="FFFFFF"/>
      <w:spacing w:before="360" w:after="180" w:line="240" w:lineRule="atLeast"/>
      <w:ind w:firstLine="760"/>
      <w:jc w:val="both"/>
    </w:pPr>
    <w:rPr>
      <w:rFonts w:asciiTheme="minorHAnsi" w:eastAsiaTheme="minorHAnsi" w:hAnsiTheme="minorHAnsi" w:cstheme="minorBidi"/>
      <w:sz w:val="26"/>
      <w:szCs w:val="26"/>
    </w:rPr>
  </w:style>
  <w:style w:type="character" w:customStyle="1" w:styleId="fontstyle01">
    <w:name w:val="fontstyle01"/>
    <w:rsid w:val="00EC795D"/>
    <w:rPr>
      <w:rFonts w:ascii="Times New Roman" w:hAnsi="Times New Roman" w:cs="Times New Roman" w:hint="default"/>
      <w:b/>
      <w:bCs/>
      <w:i w:val="0"/>
      <w:iCs w:val="0"/>
      <w:color w:val="000000"/>
      <w:sz w:val="28"/>
      <w:szCs w:val="28"/>
    </w:rPr>
  </w:style>
  <w:style w:type="character" w:styleId="PageNumber">
    <w:name w:val="page number"/>
    <w:rsid w:val="00EC795D"/>
  </w:style>
  <w:style w:type="character" w:customStyle="1" w:styleId="Bodytext2">
    <w:name w:val="Body text (2)"/>
    <w:rsid w:val="00EC795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SmallCaps">
    <w:name w:val="Body text (2) + Small Caps"/>
    <w:rsid w:val="00EC795D"/>
    <w:rPr>
      <w:rFonts w:ascii="Times New Roman" w:eastAsia="Times New Roman" w:hAnsi="Times New Roman" w:cs="Times New Roman"/>
      <w:b w:val="0"/>
      <w:bCs w:val="0"/>
      <w:i w:val="0"/>
      <w:iCs w:val="0"/>
      <w:smallCaps/>
      <w:strike w:val="0"/>
      <w:color w:val="000000"/>
      <w:spacing w:val="0"/>
      <w:w w:val="100"/>
      <w:position w:val="0"/>
      <w:sz w:val="26"/>
      <w:szCs w:val="26"/>
      <w:u w:val="none"/>
      <w:lang w:val="vi-VN" w:eastAsia="vi-VN" w:bidi="vi-VN"/>
    </w:rPr>
  </w:style>
  <w:style w:type="character" w:customStyle="1" w:styleId="Bodytext20">
    <w:name w:val="Body text (2)_"/>
    <w:rsid w:val="00EC795D"/>
    <w:rPr>
      <w:rFonts w:ascii="Times New Roman" w:eastAsia="Times New Roman" w:hAnsi="Times New Roman" w:cs="Times New Roman"/>
      <w:sz w:val="26"/>
      <w:szCs w:val="26"/>
      <w:shd w:val="clear" w:color="auto" w:fill="FFFFFF"/>
    </w:rPr>
  </w:style>
  <w:style w:type="paragraph" w:customStyle="1" w:styleId="TableParagraph">
    <w:name w:val="Table Paragraph"/>
    <w:basedOn w:val="Normal"/>
    <w:uiPriority w:val="1"/>
    <w:qFormat/>
    <w:rsid w:val="00EC795D"/>
    <w:pPr>
      <w:widowControl w:val="0"/>
      <w:autoSpaceDE w:val="0"/>
      <w:autoSpaceDN w:val="0"/>
    </w:pPr>
    <w:rPr>
      <w:sz w:val="22"/>
      <w:szCs w:val="22"/>
    </w:rPr>
  </w:style>
  <w:style w:type="character" w:styleId="Emphasis">
    <w:name w:val="Emphasis"/>
    <w:uiPriority w:val="20"/>
    <w:qFormat/>
    <w:rsid w:val="00EC795D"/>
    <w:rPr>
      <w:i/>
      <w:iCs/>
    </w:rPr>
  </w:style>
  <w:style w:type="paragraph" w:styleId="BodyText21">
    <w:name w:val="Body Text 2"/>
    <w:basedOn w:val="Normal"/>
    <w:link w:val="BodyText2Char"/>
    <w:rsid w:val="00EC795D"/>
    <w:pPr>
      <w:tabs>
        <w:tab w:val="left" w:pos="560"/>
      </w:tabs>
      <w:jc w:val="both"/>
    </w:pPr>
    <w:rPr>
      <w:rFonts w:ascii="VNI-Times" w:hAnsi="VNI-Times"/>
      <w:sz w:val="28"/>
    </w:rPr>
  </w:style>
  <w:style w:type="character" w:customStyle="1" w:styleId="BodyText2Char">
    <w:name w:val="Body Text 2 Char"/>
    <w:basedOn w:val="DefaultParagraphFont"/>
    <w:link w:val="BodyText21"/>
    <w:rsid w:val="00EC795D"/>
    <w:rPr>
      <w:rFonts w:ascii="VNI-Times" w:eastAsia="Times New Roman" w:hAnsi="VNI-Times" w:cs="Times New Roman"/>
      <w:sz w:val="28"/>
      <w:szCs w:val="24"/>
    </w:rPr>
  </w:style>
  <w:style w:type="character" w:styleId="Hyperlink">
    <w:name w:val="Hyperlink"/>
    <w:uiPriority w:val="99"/>
    <w:unhideWhenUsed/>
    <w:qFormat/>
    <w:rsid w:val="00C509B0"/>
    <w:rPr>
      <w:color w:val="0000FF"/>
      <w:u w:val="single"/>
    </w:rPr>
  </w:style>
  <w:style w:type="table" w:styleId="TableGrid">
    <w:name w:val="Table Grid"/>
    <w:basedOn w:val="TableNormal"/>
    <w:uiPriority w:val="39"/>
    <w:rsid w:val="00EE18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p2">
    <w:name w:val="Cap2"/>
    <w:basedOn w:val="Normal"/>
    <w:qFormat/>
    <w:rsid w:val="003A5A13"/>
    <w:pPr>
      <w:tabs>
        <w:tab w:val="left" w:pos="142"/>
      </w:tabs>
      <w:spacing w:before="120" w:after="120" w:line="271" w:lineRule="auto"/>
      <w:ind w:firstLine="709"/>
      <w:jc w:val="both"/>
      <w:outlineLvl w:val="0"/>
    </w:pPr>
    <w:rPr>
      <w:b/>
      <w:sz w:val="28"/>
      <w:szCs w:val="28"/>
    </w:rPr>
  </w:style>
  <w:style w:type="character" w:customStyle="1" w:styleId="Khc">
    <w:name w:val="Khác_"/>
    <w:link w:val="Khc0"/>
    <w:rsid w:val="00B71D0A"/>
    <w:rPr>
      <w:sz w:val="28"/>
      <w:szCs w:val="28"/>
    </w:rPr>
  </w:style>
  <w:style w:type="paragraph" w:customStyle="1" w:styleId="Khc0">
    <w:name w:val="Khác"/>
    <w:basedOn w:val="Normal"/>
    <w:link w:val="Khc"/>
    <w:rsid w:val="00B71D0A"/>
    <w:pPr>
      <w:widowControl w:val="0"/>
      <w:spacing w:after="100"/>
      <w:ind w:firstLine="400"/>
    </w:pPr>
    <w:rPr>
      <w:rFonts w:asciiTheme="minorHAnsi" w:eastAsiaTheme="minorHAnsi" w:hAnsiTheme="minorHAnsi" w:cstheme="minorBidi"/>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1939</Words>
  <Characters>11053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PC-PHUONG</dc:creator>
  <cp:lastModifiedBy>User</cp:lastModifiedBy>
  <cp:revision>3</cp:revision>
  <cp:lastPrinted>2026-06-09T11:30:00Z</cp:lastPrinted>
  <dcterms:created xsi:type="dcterms:W3CDTF">2026-06-15T07:27:00Z</dcterms:created>
  <dcterms:modified xsi:type="dcterms:W3CDTF">2026-06-15T07:27:00Z</dcterms:modified>
</cp:coreProperties>
</file>